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eastAsia" w:ascii="Times New Roman" w:hAnsi="Times New Roman" w:cs="Times New Roman"/>
          <w:sz w:val="28"/>
          <w:szCs w:val="28"/>
          <w:lang w:eastAsia="zh-CN"/>
        </w:rPr>
      </w:pPr>
      <w:r>
        <w:rPr>
          <w:rFonts w:hint="eastAsia"/>
          <w:sz w:val="28"/>
          <w:szCs w:val="28"/>
          <w:lang w:eastAsia="zh-CN"/>
        </w:rPr>
        <w:t>项目编号：</w:t>
      </w:r>
      <w:r>
        <w:rPr>
          <w:rFonts w:hint="default" w:ascii="Times New Roman" w:hAnsi="Times New Roman" w:cs="Times New Roman"/>
          <w:sz w:val="28"/>
          <w:szCs w:val="28"/>
          <w:lang w:eastAsia="zh-CN"/>
        </w:rPr>
        <w:t>MDJ20-0064</w:t>
      </w:r>
      <w:r>
        <w:rPr>
          <w:rFonts w:hint="eastAsia" w:ascii="Times New Roman" w:hAnsi="Times New Roman" w:cs="Times New Roman"/>
          <w:sz w:val="28"/>
          <w:szCs w:val="28"/>
          <w:lang w:eastAsia="zh-CN"/>
        </w:rPr>
        <w:t>（</w:t>
      </w:r>
      <w:r>
        <w:rPr>
          <w:rFonts w:hint="eastAsia" w:ascii="Times New Roman" w:hAnsi="Times New Roman" w:cs="Times New Roman"/>
          <w:sz w:val="28"/>
          <w:szCs w:val="28"/>
          <w:lang w:val="en-US" w:eastAsia="zh-CN"/>
        </w:rPr>
        <w:t>1</w:t>
      </w:r>
      <w:r>
        <w:rPr>
          <w:rFonts w:hint="eastAsia" w:ascii="Times New Roman" w:hAnsi="Times New Roman" w:cs="Times New Roman"/>
          <w:sz w:val="28"/>
          <w:szCs w:val="28"/>
          <w:lang w:eastAsia="zh-CN"/>
        </w:rPr>
        <w:t>）</w:t>
      </w:r>
    </w:p>
    <w:p>
      <w:pPr>
        <w:jc w:val="center"/>
        <w:rPr>
          <w:rFonts w:hint="eastAsia" w:ascii="仿宋" w:hAnsi="仿宋" w:eastAsia="仿宋" w:cs="仿宋"/>
          <w:sz w:val="32"/>
          <w:szCs w:val="32"/>
          <w:lang w:eastAsia="zh-CN"/>
        </w:rPr>
      </w:pPr>
    </w:p>
    <w:p>
      <w:pPr>
        <w:jc w:val="center"/>
        <w:rPr>
          <w:rFonts w:hint="eastAsia" w:ascii="仿宋" w:hAnsi="仿宋" w:eastAsia="仿宋" w:cs="仿宋"/>
          <w:sz w:val="32"/>
          <w:szCs w:val="32"/>
          <w:lang w:eastAsia="zh-CN"/>
        </w:rPr>
      </w:pPr>
    </w:p>
    <w:p>
      <w:pPr>
        <w:jc w:val="center"/>
        <w:rPr>
          <w:rFonts w:hint="eastAsia" w:ascii="仿宋" w:hAnsi="仿宋" w:eastAsia="仿宋" w:cs="仿宋"/>
          <w:sz w:val="32"/>
          <w:szCs w:val="32"/>
          <w:lang w:eastAsia="zh-CN"/>
        </w:rPr>
      </w:pPr>
    </w:p>
    <w:p>
      <w:pPr>
        <w:jc w:val="center"/>
        <w:rPr>
          <w:rFonts w:hint="eastAsia" w:ascii="仿宋" w:hAnsi="仿宋" w:eastAsia="仿宋" w:cs="仿宋"/>
          <w:sz w:val="32"/>
          <w:szCs w:val="32"/>
          <w:lang w:eastAsia="zh-CN"/>
        </w:rPr>
      </w:pPr>
      <w:r>
        <w:rPr>
          <w:rFonts w:hint="eastAsia" w:ascii="仿宋" w:hAnsi="仿宋" w:eastAsia="仿宋" w:cs="仿宋"/>
          <w:sz w:val="32"/>
          <w:szCs w:val="32"/>
          <w:lang w:eastAsia="zh-CN"/>
        </w:rPr>
        <w:t>贵阳高新技术产业经济带沙文生态科技产业园</w:t>
      </w:r>
    </w:p>
    <w:p>
      <w:pPr>
        <w:jc w:val="center"/>
        <w:rPr>
          <w:rFonts w:hint="eastAsia" w:ascii="仿宋" w:hAnsi="仿宋" w:eastAsia="仿宋" w:cs="仿宋"/>
          <w:sz w:val="32"/>
          <w:szCs w:val="32"/>
          <w:lang w:eastAsia="zh-CN"/>
        </w:rPr>
      </w:pPr>
      <w:r>
        <w:rPr>
          <w:rFonts w:hint="eastAsia" w:ascii="仿宋" w:hAnsi="仿宋" w:eastAsia="仿宋" w:cs="仿宋"/>
          <w:sz w:val="32"/>
          <w:szCs w:val="32"/>
          <w:lang w:eastAsia="zh-CN"/>
        </w:rPr>
        <w:t>麦沙大道道路工程</w:t>
      </w:r>
    </w:p>
    <w:p>
      <w:pPr>
        <w:jc w:val="center"/>
        <w:rPr>
          <w:rFonts w:hint="eastAsia" w:ascii="黑体" w:hAnsi="黑体" w:eastAsia="黑体" w:cs="黑体"/>
          <w:sz w:val="52"/>
          <w:szCs w:val="52"/>
          <w:lang w:eastAsia="zh-CN"/>
        </w:rPr>
      </w:pPr>
      <w:r>
        <w:rPr>
          <w:rFonts w:hint="eastAsia" w:ascii="黑体" w:hAnsi="黑体" w:eastAsia="黑体" w:cs="黑体"/>
          <w:sz w:val="52"/>
          <w:szCs w:val="52"/>
          <w:lang w:eastAsia="zh-CN"/>
        </w:rPr>
        <w:t>竣工环境保护验收调查报告</w:t>
      </w: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建设单位：贵阳高科控股集团有限公司</w:t>
      </w:r>
    </w:p>
    <w:p>
      <w:pPr>
        <w:ind w:firstLine="960" w:firstLineChars="300"/>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委托单位：贵阳高科控股集团有限公司</w:t>
      </w:r>
    </w:p>
    <w:p>
      <w:pPr>
        <w:ind w:firstLine="960" w:firstLineChars="300"/>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调查单位：贵州明德工程咨询有限公司</w:t>
      </w:r>
    </w:p>
    <w:p>
      <w:pPr>
        <w:ind w:firstLine="960" w:firstLineChars="300"/>
        <w:jc w:val="left"/>
        <w:rPr>
          <w:rFonts w:hint="eastAsia" w:ascii="仿宋" w:hAnsi="仿宋" w:eastAsia="仿宋" w:cs="仿宋"/>
          <w:sz w:val="32"/>
          <w:szCs w:val="32"/>
          <w:lang w:eastAsia="zh-CN"/>
        </w:rPr>
      </w:pPr>
    </w:p>
    <w:p>
      <w:pPr>
        <w:ind w:firstLine="960" w:firstLineChars="300"/>
        <w:jc w:val="left"/>
        <w:rPr>
          <w:rFonts w:hint="eastAsia" w:ascii="仿宋" w:hAnsi="仿宋" w:eastAsia="仿宋" w:cs="仿宋"/>
          <w:sz w:val="32"/>
          <w:szCs w:val="32"/>
          <w:lang w:eastAsia="zh-CN"/>
        </w:rPr>
      </w:pPr>
      <w:r>
        <w:rPr>
          <w:rFonts w:hint="eastAsia" w:ascii="仿宋" w:hAnsi="仿宋" w:eastAsia="仿宋" w:cs="仿宋"/>
          <w:sz w:val="32"/>
          <w:szCs w:val="32"/>
          <w:lang w:eastAsia="zh-CN"/>
        </w:rPr>
        <w:t>完成时间：二零二零年</w:t>
      </w:r>
      <w:bookmarkStart w:id="99" w:name="_GoBack"/>
      <w:r>
        <w:rPr>
          <w:rFonts w:hint="eastAsia" w:ascii="仿宋" w:hAnsi="仿宋" w:eastAsia="仿宋" w:cs="仿宋"/>
          <w:sz w:val="32"/>
          <w:szCs w:val="32"/>
          <w:lang w:eastAsia="zh-CN"/>
        </w:rPr>
        <w:t>九</w:t>
      </w:r>
      <w:bookmarkEnd w:id="99"/>
      <w:r>
        <w:rPr>
          <w:rFonts w:hint="eastAsia" w:ascii="仿宋" w:hAnsi="仿宋" w:eastAsia="仿宋" w:cs="仿宋"/>
          <w:sz w:val="32"/>
          <w:szCs w:val="32"/>
          <w:lang w:eastAsia="zh-CN"/>
        </w:rPr>
        <w:t>月</w:t>
      </w:r>
    </w:p>
    <w:p>
      <w:pPr>
        <w:rPr>
          <w:rFonts w:hint="eastAsia" w:ascii="仿宋" w:hAnsi="仿宋" w:eastAsia="仿宋" w:cs="仿宋"/>
          <w:sz w:val="32"/>
          <w:szCs w:val="32"/>
          <w:lang w:eastAsia="zh-CN"/>
        </w:rPr>
      </w:pPr>
      <w:r>
        <w:rPr>
          <w:rFonts w:hint="eastAsia" w:ascii="仿宋" w:hAnsi="仿宋" w:eastAsia="仿宋" w:cs="仿宋"/>
          <w:sz w:val="32"/>
          <w:szCs w:val="32"/>
          <w:lang w:eastAsia="zh-CN"/>
        </w:rPr>
        <w:br w:type="page"/>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调查单位名称：贵州明德工程咨询有限公司</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调查单位法人代表：吕均</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总技术负责人：唐田</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技术审核人：唐田</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项目负责人：杨雄</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编制人员：杨雄</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监测单位名称：贵州明德工程咨询有限公司</w:t>
      </w:r>
    </w:p>
    <w:p>
      <w:pPr>
        <w:jc w:val="left"/>
        <w:rPr>
          <w:rFonts w:hint="eastAsia" w:ascii="仿宋" w:hAnsi="仿宋" w:eastAsia="仿宋" w:cs="仿宋"/>
          <w:sz w:val="32"/>
          <w:szCs w:val="32"/>
          <w:lang w:val="en-US" w:eastAsia="zh-CN"/>
        </w:rPr>
      </w:pPr>
    </w:p>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监测单位参与人员：陶鹏程、彭登辉、周苹、罗芳、唐文香、翟凯吉、宋云</w:t>
      </w:r>
    </w:p>
    <w:p>
      <w:pPr>
        <w:jc w:val="left"/>
        <w:rPr>
          <w:rFonts w:hint="eastAsia" w:ascii="仿宋" w:hAnsi="仿宋" w:eastAsia="仿宋" w:cs="仿宋"/>
          <w:sz w:val="32"/>
          <w:szCs w:val="32"/>
          <w:lang w:val="en-US" w:eastAsia="zh-CN"/>
        </w:rPr>
      </w:pPr>
    </w:p>
    <w:p>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br w:type="page"/>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default" w:ascii="仿宋" w:hAnsi="仿宋" w:eastAsia="仿宋" w:cs="仿宋"/>
                <w:sz w:val="24"/>
                <w:szCs w:val="24"/>
                <w:vertAlign w:val="baseline"/>
                <w:lang w:val="en-US" w:eastAsia="zh-CN"/>
              </w:rPr>
            </w:pPr>
            <w:r>
              <w:rPr>
                <w:rFonts w:hint="default" w:ascii="仿宋" w:hAnsi="仿宋" w:eastAsia="仿宋" w:cs="仿宋"/>
                <w:sz w:val="24"/>
                <w:szCs w:val="24"/>
                <w:vertAlign w:val="baseline"/>
                <w:lang w:val="en-US" w:eastAsia="zh-CN"/>
              </w:rPr>
              <w:drawing>
                <wp:inline distT="0" distB="0" distL="114300" distR="114300">
                  <wp:extent cx="2560320" cy="1920240"/>
                  <wp:effectExtent l="0" t="0" r="11430" b="3810"/>
                  <wp:docPr id="3" name="图片 3" descr="IMG_20200519_17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00519_171501"/>
                          <pic:cNvPicPr>
                            <a:picLocks noChangeAspect="1"/>
                          </pic:cNvPicPr>
                        </pic:nvPicPr>
                        <pic:blipFill>
                          <a:blip r:embed="rId6"/>
                          <a:stretch>
                            <a:fillRect/>
                          </a:stretch>
                        </pic:blipFill>
                        <pic:spPr>
                          <a:xfrm>
                            <a:off x="0" y="0"/>
                            <a:ext cx="2560320" cy="1920240"/>
                          </a:xfrm>
                          <a:prstGeom prst="rect">
                            <a:avLst/>
                          </a:prstGeom>
                        </pic:spPr>
                      </pic:pic>
                    </a:graphicData>
                  </a:graphic>
                </wp:inline>
              </w:drawing>
            </w:r>
          </w:p>
        </w:tc>
        <w:tc>
          <w:tcPr>
            <w:tcW w:w="4261" w:type="dxa"/>
            <w:vAlign w:val="center"/>
          </w:tcPr>
          <w:p>
            <w:pPr>
              <w:jc w:val="center"/>
              <w:rPr>
                <w:rFonts w:hint="default" w:ascii="仿宋" w:hAnsi="仿宋" w:eastAsia="仿宋" w:cs="仿宋"/>
                <w:sz w:val="24"/>
                <w:szCs w:val="24"/>
                <w:vertAlign w:val="baseline"/>
                <w:lang w:val="en-US" w:eastAsia="zh-CN"/>
              </w:rPr>
            </w:pPr>
            <w:r>
              <w:rPr>
                <w:rFonts w:hint="default" w:ascii="仿宋" w:hAnsi="仿宋" w:eastAsia="仿宋" w:cs="仿宋"/>
                <w:sz w:val="24"/>
                <w:szCs w:val="24"/>
                <w:vertAlign w:val="baseline"/>
                <w:lang w:val="en-US" w:eastAsia="zh-CN"/>
              </w:rPr>
              <w:drawing>
                <wp:inline distT="0" distB="0" distL="114300" distR="114300">
                  <wp:extent cx="2560320" cy="1920240"/>
                  <wp:effectExtent l="0" t="0" r="11430" b="3810"/>
                  <wp:docPr id="4" name="图片 4" descr="IMG_20200519_17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00519_172049"/>
                          <pic:cNvPicPr>
                            <a:picLocks noChangeAspect="1"/>
                          </pic:cNvPicPr>
                        </pic:nvPicPr>
                        <pic:blipFill>
                          <a:blip r:embed="rId7"/>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道路沿线基本农田现状</w:t>
            </w:r>
          </w:p>
        </w:tc>
        <w:tc>
          <w:tcPr>
            <w:tcW w:w="4261" w:type="dxa"/>
            <w:vAlign w:val="center"/>
          </w:tcPr>
          <w:p>
            <w:pPr>
              <w:jc w:val="cente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施工营地现状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drawing>
                <wp:inline distT="0" distB="0" distL="114300" distR="114300">
                  <wp:extent cx="2560320" cy="1920240"/>
                  <wp:effectExtent l="0" t="0" r="11430" b="3810"/>
                  <wp:docPr id="5" name="图片 5" descr="IMG_20200519_1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00519_174512"/>
                          <pic:cNvPicPr>
                            <a:picLocks noChangeAspect="1"/>
                          </pic:cNvPicPr>
                        </pic:nvPicPr>
                        <pic:blipFill>
                          <a:blip r:embed="rId8"/>
                          <a:stretch>
                            <a:fillRect/>
                          </a:stretch>
                        </pic:blipFill>
                        <pic:spPr>
                          <a:xfrm>
                            <a:off x="0" y="0"/>
                            <a:ext cx="2560320" cy="1920240"/>
                          </a:xfrm>
                          <a:prstGeom prst="rect">
                            <a:avLst/>
                          </a:prstGeom>
                        </pic:spPr>
                      </pic:pic>
                    </a:graphicData>
                  </a:graphic>
                </wp:inline>
              </w:drawing>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drawing>
                <wp:inline distT="0" distB="0" distL="114300" distR="114300">
                  <wp:extent cx="2560320" cy="1920240"/>
                  <wp:effectExtent l="0" t="0" r="11430" b="3810"/>
                  <wp:docPr id="6" name="图片 6" descr="IMG_20200519_17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00519_175510"/>
                          <pic:cNvPicPr>
                            <a:picLocks noChangeAspect="1"/>
                          </pic:cNvPicPr>
                        </pic:nvPicPr>
                        <pic:blipFill>
                          <a:blip r:embed="rId9"/>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道路终点处白云六中</w:t>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弃土场现状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drawing>
                <wp:inline distT="0" distB="0" distL="114300" distR="114300">
                  <wp:extent cx="2560320" cy="1920240"/>
                  <wp:effectExtent l="0" t="0" r="11430" b="3810"/>
                  <wp:docPr id="7" name="图片 7" descr="IMG_20200519_16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00519_164640"/>
                          <pic:cNvPicPr>
                            <a:picLocks noChangeAspect="1"/>
                          </pic:cNvPicPr>
                        </pic:nvPicPr>
                        <pic:blipFill>
                          <a:blip r:embed="rId10"/>
                          <a:stretch>
                            <a:fillRect/>
                          </a:stretch>
                        </pic:blipFill>
                        <pic:spPr>
                          <a:xfrm>
                            <a:off x="0" y="0"/>
                            <a:ext cx="2560320" cy="1920240"/>
                          </a:xfrm>
                          <a:prstGeom prst="rect">
                            <a:avLst/>
                          </a:prstGeom>
                        </pic:spPr>
                      </pic:pic>
                    </a:graphicData>
                  </a:graphic>
                </wp:inline>
              </w:drawing>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drawing>
                <wp:inline distT="0" distB="0" distL="114300" distR="114300">
                  <wp:extent cx="2560320" cy="1920240"/>
                  <wp:effectExtent l="0" t="0" r="11430" b="3810"/>
                  <wp:docPr id="8" name="图片 8" descr="IMG_20200519_17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00519_170604"/>
                          <pic:cNvPicPr>
                            <a:picLocks noChangeAspect="1"/>
                          </pic:cNvPicPr>
                        </pic:nvPicPr>
                        <pic:blipFill>
                          <a:blip r:embed="rId11"/>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贵州商学院</w:t>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行道树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drawing>
                <wp:inline distT="0" distB="0" distL="114300" distR="114300">
                  <wp:extent cx="2560320" cy="1920240"/>
                  <wp:effectExtent l="0" t="0" r="11430" b="3810"/>
                  <wp:docPr id="9" name="图片 9" descr="IMG_20200519_17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00519_173212"/>
                          <pic:cNvPicPr>
                            <a:picLocks noChangeAspect="1"/>
                          </pic:cNvPicPr>
                        </pic:nvPicPr>
                        <pic:blipFill>
                          <a:blip r:embed="rId12"/>
                          <a:stretch>
                            <a:fillRect/>
                          </a:stretch>
                        </pic:blipFill>
                        <pic:spPr>
                          <a:xfrm>
                            <a:off x="0" y="0"/>
                            <a:ext cx="2560320" cy="1920240"/>
                          </a:xfrm>
                          <a:prstGeom prst="rect">
                            <a:avLst/>
                          </a:prstGeom>
                        </pic:spPr>
                      </pic:pic>
                    </a:graphicData>
                  </a:graphic>
                </wp:inline>
              </w:drawing>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drawing>
                <wp:inline distT="0" distB="0" distL="114300" distR="114300">
                  <wp:extent cx="2560320" cy="1920240"/>
                  <wp:effectExtent l="0" t="0" r="11430" b="3810"/>
                  <wp:docPr id="10" name="图片 10" descr="IMG_20200519_17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00519_174407"/>
                          <pic:cNvPicPr>
                            <a:picLocks noChangeAspect="1"/>
                          </pic:cNvPicPr>
                        </pic:nvPicPr>
                        <pic:blipFill>
                          <a:blip r:embed="rId13"/>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沿线居民点现状</w:t>
            </w:r>
          </w:p>
        </w:tc>
        <w:tc>
          <w:tcPr>
            <w:tcW w:w="4261" w:type="dxa"/>
            <w:vAlign w:val="center"/>
          </w:tcPr>
          <w:p>
            <w:pPr>
              <w:jc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沙文镇现状</w:t>
            </w:r>
          </w:p>
        </w:tc>
      </w:tr>
    </w:tbl>
    <w:p>
      <w:pPr>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br w:type="page"/>
      </w:r>
    </w:p>
    <w:sdt>
      <w:sdtPr>
        <w:rPr>
          <w:rFonts w:ascii="宋体" w:hAnsi="宋体" w:eastAsia="宋体" w:cstheme="minorBidi"/>
          <w:kern w:val="2"/>
          <w:sz w:val="21"/>
          <w:szCs w:val="24"/>
          <w:lang w:val="en-US" w:eastAsia="zh-CN" w:bidi="ar-SA"/>
        </w:rPr>
        <w:id w:val="147478809"/>
        <w15:color w:val="DBDBDB"/>
        <w:docPartObj>
          <w:docPartGallery w:val="Table of Contents"/>
          <w:docPartUnique/>
        </w:docPartObj>
      </w:sdtPr>
      <w:sdtEndPr>
        <w:rPr>
          <w:rFonts w:hint="default" w:ascii="仿宋" w:hAnsi="仿宋" w:eastAsia="仿宋" w:cs="仿宋"/>
          <w:kern w:val="2"/>
          <w:sz w:val="21"/>
          <w:szCs w:val="32"/>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7"/>
            <w:tabs>
              <w:tab w:val="right" w:leader="dot" w:pos="8306"/>
            </w:tabs>
          </w:pPr>
          <w:r>
            <w:rPr>
              <w:rFonts w:hint="default" w:ascii="仿宋" w:hAnsi="仿宋" w:eastAsia="仿宋" w:cs="仿宋"/>
              <w:sz w:val="32"/>
              <w:szCs w:val="32"/>
              <w:lang w:val="en-US" w:eastAsia="zh-CN"/>
            </w:rPr>
            <w:fldChar w:fldCharType="begin"/>
          </w:r>
          <w:r>
            <w:rPr>
              <w:rFonts w:hint="default" w:ascii="仿宋" w:hAnsi="仿宋" w:eastAsia="仿宋" w:cs="仿宋"/>
              <w:sz w:val="32"/>
              <w:szCs w:val="32"/>
              <w:lang w:val="en-US" w:eastAsia="zh-CN"/>
            </w:rPr>
            <w:instrText xml:space="preserve">TOC \o "1-3" \h \u </w:instrText>
          </w:r>
          <w:r>
            <w:rPr>
              <w:rFonts w:hint="default" w:ascii="仿宋" w:hAnsi="仿宋" w:eastAsia="仿宋" w:cs="仿宋"/>
              <w:sz w:val="32"/>
              <w:szCs w:val="32"/>
              <w:lang w:val="en-US" w:eastAsia="zh-CN"/>
            </w:rPr>
            <w:fldChar w:fldCharType="separate"/>
          </w: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_Toc23817 </w:instrText>
          </w:r>
          <w:r>
            <w:rPr>
              <w:rFonts w:hint="default" w:ascii="仿宋" w:hAnsi="仿宋" w:eastAsia="仿宋" w:cs="仿宋"/>
              <w:szCs w:val="32"/>
              <w:lang w:val="en-US" w:eastAsia="zh-CN"/>
            </w:rPr>
            <w:fldChar w:fldCharType="separate"/>
          </w:r>
          <w:r>
            <w:rPr>
              <w:rFonts w:hint="eastAsia" w:ascii="宋体" w:hAnsi="宋体" w:eastAsia="宋体" w:cs="宋体"/>
              <w:bCs/>
              <w:szCs w:val="32"/>
              <w:lang w:val="en-US" w:eastAsia="zh-CN"/>
            </w:rPr>
            <w:t>前  言</w:t>
          </w:r>
          <w:r>
            <w:tab/>
          </w:r>
          <w:r>
            <w:fldChar w:fldCharType="begin"/>
          </w:r>
          <w:r>
            <w:instrText xml:space="preserve"> PAGEREF _Toc23817 </w:instrText>
          </w:r>
          <w:r>
            <w:fldChar w:fldCharType="separate"/>
          </w:r>
          <w:r>
            <w:t>1</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_Toc14589 </w:instrText>
          </w:r>
          <w:r>
            <w:rPr>
              <w:rFonts w:hint="default" w:ascii="仿宋" w:hAnsi="仿宋" w:eastAsia="仿宋" w:cs="仿宋"/>
              <w:szCs w:val="32"/>
              <w:lang w:val="en-US" w:eastAsia="zh-CN"/>
            </w:rPr>
            <w:fldChar w:fldCharType="separate"/>
          </w:r>
          <w:r>
            <w:rPr>
              <w:rFonts w:hint="default" w:ascii="Times New Roman" w:hAnsi="Times New Roman" w:eastAsia="宋体" w:cs="Times New Roman"/>
              <w:bCs/>
              <w:szCs w:val="28"/>
              <w:lang w:val="en-US" w:eastAsia="zh-CN"/>
            </w:rPr>
            <w:t>1 总论</w:t>
          </w:r>
          <w:r>
            <w:tab/>
          </w:r>
          <w:r>
            <w:fldChar w:fldCharType="begin"/>
          </w:r>
          <w:r>
            <w:instrText xml:space="preserve"> PAGEREF _Toc14589 </w:instrText>
          </w:r>
          <w:r>
            <w:fldChar w:fldCharType="separate"/>
          </w:r>
          <w:r>
            <w:t>3</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_Toc22775 </w:instrText>
          </w:r>
          <w:r>
            <w:rPr>
              <w:rFonts w:hint="default" w:ascii="仿宋" w:hAnsi="仿宋" w:eastAsia="仿宋" w:cs="仿宋"/>
              <w:szCs w:val="32"/>
              <w:lang w:val="en-US" w:eastAsia="zh-CN"/>
            </w:rPr>
            <w:fldChar w:fldCharType="separate"/>
          </w:r>
          <w:r>
            <w:rPr>
              <w:rFonts w:hint="default" w:ascii="Times New Roman" w:hAnsi="Times New Roman" w:eastAsia="宋体" w:cs="Times New Roman"/>
              <w:szCs w:val="24"/>
              <w:lang w:val="en-US" w:eastAsia="zh-CN"/>
            </w:rPr>
            <w:t>1.1编制依据</w:t>
          </w:r>
          <w:r>
            <w:tab/>
          </w:r>
          <w:r>
            <w:fldChar w:fldCharType="begin"/>
          </w:r>
          <w:r>
            <w:instrText xml:space="preserve"> PAGEREF _Toc22775 </w:instrText>
          </w:r>
          <w:r>
            <w:fldChar w:fldCharType="separate"/>
          </w:r>
          <w:r>
            <w:t>3</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_Toc13047 </w:instrText>
          </w:r>
          <w:r>
            <w:rPr>
              <w:rFonts w:hint="default" w:ascii="仿宋" w:hAnsi="仿宋" w:eastAsia="仿宋" w:cs="仿宋"/>
              <w:szCs w:val="32"/>
              <w:lang w:val="en-US" w:eastAsia="zh-CN"/>
            </w:rPr>
            <w:fldChar w:fldCharType="separate"/>
          </w:r>
          <w:r>
            <w:rPr>
              <w:rFonts w:hint="default" w:ascii="Times New Roman" w:hAnsi="Times New Roman" w:eastAsia="宋体" w:cs="Times New Roman"/>
              <w:szCs w:val="24"/>
              <w:lang w:val="en-US" w:eastAsia="zh-CN"/>
            </w:rPr>
            <w:t>1.1.1法律法规</w:t>
          </w:r>
          <w:r>
            <w:tab/>
          </w:r>
          <w:r>
            <w:fldChar w:fldCharType="begin"/>
          </w:r>
          <w:r>
            <w:instrText xml:space="preserve"> PAGEREF _Toc13047 </w:instrText>
          </w:r>
          <w:r>
            <w:fldChar w:fldCharType="separate"/>
          </w:r>
          <w:r>
            <w:t>3</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_Toc14050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1.1.2工程技术资料</w:t>
          </w:r>
          <w:r>
            <w:tab/>
          </w:r>
          <w:r>
            <w:fldChar w:fldCharType="begin"/>
          </w:r>
          <w:r>
            <w:instrText xml:space="preserve"> PAGEREF _Toc14050 </w:instrText>
          </w:r>
          <w:r>
            <w:fldChar w:fldCharType="separate"/>
          </w:r>
          <w:r>
            <w:t>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_Toc30286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1.2调查目的</w:t>
          </w:r>
          <w:r>
            <w:tab/>
          </w:r>
          <w:r>
            <w:fldChar w:fldCharType="begin"/>
          </w:r>
          <w:r>
            <w:instrText xml:space="preserve"> PAGEREF _Toc30286 </w:instrText>
          </w:r>
          <w:r>
            <w:fldChar w:fldCharType="separate"/>
          </w:r>
          <w:r>
            <w:t>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_Toc5040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1.3调查方法</w:t>
          </w:r>
          <w:r>
            <w:tab/>
          </w:r>
          <w:r>
            <w:fldChar w:fldCharType="begin"/>
          </w:r>
          <w:r>
            <w:instrText xml:space="preserve"> PAGEREF _Toc5040 </w:instrText>
          </w:r>
          <w:r>
            <w:fldChar w:fldCharType="separate"/>
          </w:r>
          <w:r>
            <w:t>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_Toc12550 </w:instrText>
          </w:r>
          <w:r>
            <w:rPr>
              <w:rFonts w:hint="default" w:ascii="仿宋" w:hAnsi="仿宋" w:eastAsia="仿宋" w:cs="仿宋"/>
              <w:szCs w:val="32"/>
              <w:lang w:val="en-US" w:eastAsia="zh-CN"/>
            </w:rPr>
            <w:fldChar w:fldCharType="separate"/>
          </w:r>
          <w:r>
            <w:rPr>
              <w:rFonts w:hint="default" w:ascii="Times New Roman" w:hAnsi="Times New Roman" w:cs="Times New Roman"/>
              <w:lang w:val="en-US" w:eastAsia="zh-CN"/>
            </w:rPr>
            <w:t>1.4调查范围及因子</w:t>
          </w:r>
          <w:r>
            <w:tab/>
          </w:r>
          <w:r>
            <w:fldChar w:fldCharType="begin"/>
          </w:r>
          <w:r>
            <w:instrText xml:space="preserve"> PAGEREF _Toc12550 </w:instrText>
          </w:r>
          <w:r>
            <w:fldChar w:fldCharType="separate"/>
          </w:r>
          <w:r>
            <w:t>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_Toc8006 </w:instrText>
          </w:r>
          <w:r>
            <w:rPr>
              <w:rFonts w:hint="default" w:ascii="仿宋" w:hAnsi="仿宋" w:eastAsia="仿宋" w:cs="仿宋"/>
              <w:szCs w:val="32"/>
              <w:lang w:val="en-US" w:eastAsia="zh-CN"/>
            </w:rPr>
            <w:fldChar w:fldCharType="separate"/>
          </w:r>
          <w:r>
            <w:rPr>
              <w:rFonts w:hint="default" w:ascii="Times New Roman" w:hAnsi="Times New Roman" w:cs="Times New Roman"/>
              <w:lang w:val="en-US" w:eastAsia="zh-CN"/>
            </w:rPr>
            <w:t>1.4.1</w:t>
          </w:r>
          <w:r>
            <w:rPr>
              <w:rFonts w:hint="eastAsia" w:ascii="Times New Roman" w:hAnsi="Times New Roman" w:cs="Times New Roman"/>
              <w:lang w:val="en-US" w:eastAsia="zh-CN"/>
            </w:rPr>
            <w:t>调查范围</w:t>
          </w:r>
          <w:r>
            <w:tab/>
          </w:r>
          <w:r>
            <w:fldChar w:fldCharType="begin"/>
          </w:r>
          <w:r>
            <w:instrText xml:space="preserve"> PAGEREF _Toc8006 </w:instrText>
          </w:r>
          <w:r>
            <w:fldChar w:fldCharType="separate"/>
          </w:r>
          <w:r>
            <w:t>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_Toc19885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1.4.2调查因子</w:t>
          </w:r>
          <w:r>
            <w:tab/>
          </w:r>
          <w:r>
            <w:fldChar w:fldCharType="begin"/>
          </w:r>
          <w:r>
            <w:instrText xml:space="preserve"> PAGEREF _Toc19885 </w:instrText>
          </w:r>
          <w:r>
            <w:fldChar w:fldCharType="separate"/>
          </w:r>
          <w:r>
            <w:t>6</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_Toc13101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1.5验收标准</w:t>
          </w:r>
          <w:r>
            <w:tab/>
          </w:r>
          <w:r>
            <w:fldChar w:fldCharType="begin"/>
          </w:r>
          <w:r>
            <w:instrText xml:space="preserve"> PAGEREF _Toc13101 </w:instrText>
          </w:r>
          <w:r>
            <w:fldChar w:fldCharType="separate"/>
          </w:r>
          <w:r>
            <w:t>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_Toc23555 </w:instrText>
          </w:r>
          <w:r>
            <w:rPr>
              <w:rFonts w:hint="default" w:ascii="仿宋" w:hAnsi="仿宋" w:eastAsia="仿宋" w:cs="仿宋"/>
              <w:szCs w:val="32"/>
              <w:lang w:val="en-US" w:eastAsia="zh-CN"/>
            </w:rPr>
            <w:fldChar w:fldCharType="separate"/>
          </w:r>
          <w:r>
            <w:rPr>
              <w:rFonts w:hint="default" w:ascii="Times New Roman" w:hAnsi="Times New Roman" w:cs="Times New Roman"/>
              <w:szCs w:val="24"/>
              <w:lang w:val="en-US" w:eastAsia="zh-CN"/>
            </w:rPr>
            <w:t>1.5.1</w:t>
          </w:r>
          <w:r>
            <w:rPr>
              <w:rFonts w:hint="eastAsia" w:ascii="Times New Roman" w:hAnsi="Times New Roman" w:cs="Times New Roman"/>
              <w:szCs w:val="24"/>
              <w:lang w:val="en-US" w:eastAsia="zh-CN"/>
            </w:rPr>
            <w:t>环境质量标准</w:t>
          </w:r>
          <w:r>
            <w:tab/>
          </w:r>
          <w:r>
            <w:fldChar w:fldCharType="begin"/>
          </w:r>
          <w:r>
            <w:instrText xml:space="preserve"> PAGEREF _Toc23555 </w:instrText>
          </w:r>
          <w:r>
            <w:fldChar w:fldCharType="separate"/>
          </w:r>
          <w:r>
            <w:t>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_Toc4916 </w:instrText>
          </w:r>
          <w:r>
            <w:rPr>
              <w:rFonts w:hint="default" w:ascii="仿宋" w:hAnsi="仿宋" w:eastAsia="仿宋" w:cs="仿宋"/>
              <w:szCs w:val="32"/>
              <w:lang w:val="en-US" w:eastAsia="zh-CN"/>
            </w:rPr>
            <w:fldChar w:fldCharType="separate"/>
          </w:r>
          <w:r>
            <w:rPr>
              <w:rFonts w:hint="eastAsia" w:ascii="Times New Roman" w:hAnsi="Times New Roman" w:cs="Times New Roman"/>
              <w:szCs w:val="24"/>
              <w:lang w:val="en-US" w:eastAsia="zh-CN"/>
            </w:rPr>
            <w:t>1.5.2污染物排放标准</w:t>
          </w:r>
          <w:r>
            <w:tab/>
          </w:r>
          <w:r>
            <w:fldChar w:fldCharType="begin"/>
          </w:r>
          <w:r>
            <w:instrText xml:space="preserve"> PAGEREF _Toc4916 </w:instrText>
          </w:r>
          <w:r>
            <w:fldChar w:fldCharType="separate"/>
          </w:r>
          <w:r>
            <w:t>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_Toc24434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1.6保护目标及调查重点</w:t>
          </w:r>
          <w:r>
            <w:tab/>
          </w:r>
          <w:r>
            <w:fldChar w:fldCharType="begin"/>
          </w:r>
          <w:r>
            <w:instrText xml:space="preserve"> PAGEREF _Toc24434 </w:instrText>
          </w:r>
          <w:r>
            <w:fldChar w:fldCharType="separate"/>
          </w:r>
          <w:r>
            <w:t>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_Toc20599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1.6.1生态环境保护目标</w:t>
          </w:r>
          <w:r>
            <w:tab/>
          </w:r>
          <w:r>
            <w:fldChar w:fldCharType="begin"/>
          </w:r>
          <w:r>
            <w:instrText xml:space="preserve"> PAGEREF _Toc20599 </w:instrText>
          </w:r>
          <w:r>
            <w:fldChar w:fldCharType="separate"/>
          </w:r>
          <w:r>
            <w:t>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_Toc15008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1.6.2环境空气及声环境保护目标</w:t>
          </w:r>
          <w:r>
            <w:tab/>
          </w:r>
          <w:r>
            <w:fldChar w:fldCharType="begin"/>
          </w:r>
          <w:r>
            <w:instrText xml:space="preserve"> PAGEREF _Toc15008 </w:instrText>
          </w:r>
          <w:r>
            <w:fldChar w:fldCharType="separate"/>
          </w:r>
          <w:r>
            <w:t>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_Toc18727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1.6.3水环境保护目标</w:t>
          </w:r>
          <w:r>
            <w:tab/>
          </w:r>
          <w:r>
            <w:fldChar w:fldCharType="begin"/>
          </w:r>
          <w:r>
            <w:instrText xml:space="preserve"> PAGEREF _Toc18727 </w:instrText>
          </w:r>
          <w:r>
            <w:fldChar w:fldCharType="separate"/>
          </w:r>
          <w:r>
            <w:t>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_Toc26743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2 工程概况</w:t>
          </w:r>
          <w:r>
            <w:tab/>
          </w:r>
          <w:r>
            <w:fldChar w:fldCharType="begin"/>
          </w:r>
          <w:r>
            <w:instrText xml:space="preserve"> PAGEREF _Toc26743 </w:instrText>
          </w:r>
          <w:r>
            <w:fldChar w:fldCharType="separate"/>
          </w:r>
          <w:r>
            <w:t>14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_Toc21513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2.1地理位置及路线走向</w:t>
          </w:r>
          <w:r>
            <w:tab/>
          </w:r>
          <w:r>
            <w:fldChar w:fldCharType="begin"/>
          </w:r>
          <w:r>
            <w:instrText xml:space="preserve"> PAGEREF _Toc21513 </w:instrText>
          </w:r>
          <w:r>
            <w:fldChar w:fldCharType="separate"/>
          </w:r>
          <w:r>
            <w:t>14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_Toc30270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2.2项目建设过程</w:t>
          </w:r>
          <w:r>
            <w:tab/>
          </w:r>
          <w:r>
            <w:fldChar w:fldCharType="begin"/>
          </w:r>
          <w:r>
            <w:instrText xml:space="preserve"> PAGEREF _Toc30270 </w:instrText>
          </w:r>
          <w:r>
            <w:fldChar w:fldCharType="separate"/>
          </w:r>
          <w:r>
            <w:t>14</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_Toc23694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2.3建设内容</w:t>
          </w:r>
          <w:r>
            <w:tab/>
          </w:r>
          <w:r>
            <w:fldChar w:fldCharType="begin"/>
          </w:r>
          <w:r>
            <w:instrText xml:space="preserve"> PAGEREF _Toc23694 </w:instrText>
          </w:r>
          <w:r>
            <w:fldChar w:fldCharType="separate"/>
          </w:r>
          <w:r>
            <w:t>16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_Toc4036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2.3.1建设规模及主要技术指标</w:t>
          </w:r>
          <w:r>
            <w:tab/>
          </w:r>
          <w:r>
            <w:fldChar w:fldCharType="begin"/>
          </w:r>
          <w:r>
            <w:instrText xml:space="preserve"> PAGEREF _Toc4036 </w:instrText>
          </w:r>
          <w:r>
            <w:fldChar w:fldCharType="separate"/>
          </w:r>
          <w:r>
            <w:t>16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_Toc7395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2.3.2主要工程内容</w:t>
          </w:r>
          <w:r>
            <w:tab/>
          </w:r>
          <w:r>
            <w:fldChar w:fldCharType="begin"/>
          </w:r>
          <w:r>
            <w:instrText xml:space="preserve"> PAGEREF _Toc7395 </w:instrText>
          </w:r>
          <w:r>
            <w:fldChar w:fldCharType="separate"/>
          </w:r>
          <w:r>
            <w:t>17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_Toc13745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2.3.3项目工程量</w:t>
          </w:r>
          <w:r>
            <w:tab/>
          </w:r>
          <w:r>
            <w:fldChar w:fldCharType="begin"/>
          </w:r>
          <w:r>
            <w:instrText xml:space="preserve"> PAGEREF _Toc13745 </w:instrText>
          </w:r>
          <w:r>
            <w:fldChar w:fldCharType="separate"/>
          </w:r>
          <w:r>
            <w:t>19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_Toc19835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2.3.4项目变更情况</w:t>
          </w:r>
          <w:r>
            <w:tab/>
          </w:r>
          <w:r>
            <w:fldChar w:fldCharType="begin"/>
          </w:r>
          <w:r>
            <w:instrText xml:space="preserve"> PAGEREF _Toc19835 </w:instrText>
          </w:r>
          <w:r>
            <w:fldChar w:fldCharType="separate"/>
          </w:r>
          <w:r>
            <w:t>19</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_Toc14188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2.4交通量</w:t>
          </w:r>
          <w:r>
            <w:tab/>
          </w:r>
          <w:r>
            <w:fldChar w:fldCharType="begin"/>
          </w:r>
          <w:r>
            <w:instrText xml:space="preserve"> PAGEREF _Toc14188 </w:instrText>
          </w:r>
          <w:r>
            <w:fldChar w:fldCharType="separate"/>
          </w:r>
          <w:r>
            <w:t>19</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_Toc7642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2.5 环保投资</w:t>
          </w:r>
          <w:r>
            <w:tab/>
          </w:r>
          <w:r>
            <w:fldChar w:fldCharType="begin"/>
          </w:r>
          <w:r>
            <w:instrText xml:space="preserve"> PAGEREF _Toc7642 </w:instrText>
          </w:r>
          <w:r>
            <w:fldChar w:fldCharType="separate"/>
          </w:r>
          <w:r>
            <w:t>20</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_Toc5443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3 环境影响评价报告回顾</w:t>
          </w:r>
          <w:r>
            <w:tab/>
          </w:r>
          <w:r>
            <w:fldChar w:fldCharType="begin"/>
          </w:r>
          <w:r>
            <w:instrText xml:space="preserve"> PAGEREF _Toc5443 </w:instrText>
          </w:r>
          <w:r>
            <w:fldChar w:fldCharType="separate"/>
          </w:r>
          <w:r>
            <w:t>22</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_Toc10399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3.1环境影响影响评价报告的主要结论</w:t>
          </w:r>
          <w:r>
            <w:tab/>
          </w:r>
          <w:r>
            <w:fldChar w:fldCharType="begin"/>
          </w:r>
          <w:r>
            <w:instrText xml:space="preserve"> PAGEREF _Toc10399 </w:instrText>
          </w:r>
          <w:r>
            <w:fldChar w:fldCharType="separate"/>
          </w:r>
          <w:r>
            <w:t>22</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_Toc21682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3.1.1工程概况</w:t>
          </w:r>
          <w:r>
            <w:tab/>
          </w:r>
          <w:r>
            <w:fldChar w:fldCharType="begin"/>
          </w:r>
          <w:r>
            <w:instrText xml:space="preserve"> PAGEREF _Toc21682 </w:instrText>
          </w:r>
          <w:r>
            <w:fldChar w:fldCharType="separate"/>
          </w:r>
          <w:r>
            <w:t>22</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_Toc25906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3.1.2规划符合性</w:t>
          </w:r>
          <w:r>
            <w:tab/>
          </w:r>
          <w:r>
            <w:fldChar w:fldCharType="begin"/>
          </w:r>
          <w:r>
            <w:instrText xml:space="preserve"> PAGEREF _Toc25906 </w:instrText>
          </w:r>
          <w:r>
            <w:fldChar w:fldCharType="separate"/>
          </w:r>
          <w:r>
            <w:t>22</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_Toc24571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3.1.3方案比选</w:t>
          </w:r>
          <w:r>
            <w:tab/>
          </w:r>
          <w:r>
            <w:fldChar w:fldCharType="begin"/>
          </w:r>
          <w:r>
            <w:instrText xml:space="preserve"> PAGEREF _Toc24571 </w:instrText>
          </w:r>
          <w:r>
            <w:fldChar w:fldCharType="separate"/>
          </w:r>
          <w:r>
            <w:t>22</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_Toc27510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3.1.4环境现状评价</w:t>
          </w:r>
          <w:r>
            <w:tab/>
          </w:r>
          <w:r>
            <w:fldChar w:fldCharType="begin"/>
          </w:r>
          <w:r>
            <w:instrText xml:space="preserve"> PAGEREF _Toc27510 </w:instrText>
          </w:r>
          <w:r>
            <w:fldChar w:fldCharType="separate"/>
          </w:r>
          <w:r>
            <w:t>23</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_Toc4976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3.1.5环境影响预测与评价</w:t>
          </w:r>
          <w:r>
            <w:tab/>
          </w:r>
          <w:r>
            <w:fldChar w:fldCharType="begin"/>
          </w:r>
          <w:r>
            <w:instrText xml:space="preserve"> PAGEREF _Toc4976 </w:instrText>
          </w:r>
          <w:r>
            <w:fldChar w:fldCharType="separate"/>
          </w:r>
          <w:r>
            <w:t>24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_Toc17006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3.1.6主要环境影响减缓措施</w:t>
          </w:r>
          <w:r>
            <w:tab/>
          </w:r>
          <w:r>
            <w:fldChar w:fldCharType="begin"/>
          </w:r>
          <w:r>
            <w:instrText xml:space="preserve"> PAGEREF _Toc17006 </w:instrText>
          </w:r>
          <w:r>
            <w:fldChar w:fldCharType="separate"/>
          </w:r>
          <w:r>
            <w:t>29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_Toc28191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3.1.7水土保持</w:t>
          </w:r>
          <w:r>
            <w:tab/>
          </w:r>
          <w:r>
            <w:fldChar w:fldCharType="begin"/>
          </w:r>
          <w:r>
            <w:instrText xml:space="preserve"> PAGEREF _Toc28191 </w:instrText>
          </w:r>
          <w:r>
            <w:fldChar w:fldCharType="separate"/>
          </w:r>
          <w:r>
            <w:t>34</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_Toc30911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3.1.8公众参与</w:t>
          </w:r>
          <w:r>
            <w:tab/>
          </w:r>
          <w:r>
            <w:fldChar w:fldCharType="begin"/>
          </w:r>
          <w:r>
            <w:instrText xml:space="preserve"> PAGEREF _Toc30911 </w:instrText>
          </w:r>
          <w:r>
            <w:fldChar w:fldCharType="separate"/>
          </w:r>
          <w:r>
            <w:t>35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_Toc18618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3.1.9环境经济损益分析</w:t>
          </w:r>
          <w:r>
            <w:tab/>
          </w:r>
          <w:r>
            <w:fldChar w:fldCharType="begin"/>
          </w:r>
          <w:r>
            <w:instrText xml:space="preserve"> PAGEREF _Toc18618 </w:instrText>
          </w:r>
          <w:r>
            <w:fldChar w:fldCharType="separate"/>
          </w:r>
          <w:r>
            <w:t>35</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_Toc32359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3.1.10环评结论</w:t>
          </w:r>
          <w:r>
            <w:tab/>
          </w:r>
          <w:r>
            <w:fldChar w:fldCharType="begin"/>
          </w:r>
          <w:r>
            <w:instrText xml:space="preserve"> PAGEREF _Toc32359 </w:instrText>
          </w:r>
          <w:r>
            <w:fldChar w:fldCharType="separate"/>
          </w:r>
          <w:r>
            <w:t>35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_Toc19703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3.2环境影响评价报告建议</w:t>
          </w:r>
          <w:r>
            <w:tab/>
          </w:r>
          <w:r>
            <w:fldChar w:fldCharType="begin"/>
          </w:r>
          <w:r>
            <w:instrText xml:space="preserve"> PAGEREF _Toc19703 </w:instrText>
          </w:r>
          <w:r>
            <w:fldChar w:fldCharType="separate"/>
          </w:r>
          <w:r>
            <w:t>35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_Toc12591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3.3环境影响评价报告批复</w:t>
          </w:r>
          <w:r>
            <w:tab/>
          </w:r>
          <w:r>
            <w:fldChar w:fldCharType="begin"/>
          </w:r>
          <w:r>
            <w:instrText xml:space="preserve"> PAGEREF _Toc12591 </w:instrText>
          </w:r>
          <w:r>
            <w:fldChar w:fldCharType="separate"/>
          </w:r>
          <w:r>
            <w:t>36</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_Toc30910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4 环保措施落实情况</w:t>
          </w:r>
          <w:r>
            <w:tab/>
          </w:r>
          <w:r>
            <w:fldChar w:fldCharType="begin"/>
          </w:r>
          <w:r>
            <w:instrText xml:space="preserve"> PAGEREF _Toc30910 </w:instrText>
          </w:r>
          <w:r>
            <w:fldChar w:fldCharType="separate"/>
          </w:r>
          <w:r>
            <w:t>39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_Toc22940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5 施工期环境影响调查</w:t>
          </w:r>
          <w:r>
            <w:tab/>
          </w:r>
          <w:r>
            <w:fldChar w:fldCharType="begin"/>
          </w:r>
          <w:r>
            <w:instrText xml:space="preserve"> PAGEREF _Toc22940 </w:instrText>
          </w:r>
          <w:r>
            <w:fldChar w:fldCharType="separate"/>
          </w:r>
          <w:r>
            <w:t>45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_Toc5076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5.1生态环境</w:t>
          </w:r>
          <w:r>
            <w:tab/>
          </w:r>
          <w:r>
            <w:fldChar w:fldCharType="begin"/>
          </w:r>
          <w:r>
            <w:instrText xml:space="preserve"> PAGEREF _Toc5076 </w:instrText>
          </w:r>
          <w:r>
            <w:fldChar w:fldCharType="separate"/>
          </w:r>
          <w:r>
            <w:t>45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_Toc1126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5.2水环境</w:t>
          </w:r>
          <w:r>
            <w:tab/>
          </w:r>
          <w:r>
            <w:fldChar w:fldCharType="begin"/>
          </w:r>
          <w:r>
            <w:instrText xml:space="preserve"> PAGEREF _Toc1126 </w:instrText>
          </w:r>
          <w:r>
            <w:fldChar w:fldCharType="separate"/>
          </w:r>
          <w:r>
            <w:t>46</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_Toc29678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5.3环境空气</w:t>
          </w:r>
          <w:r>
            <w:tab/>
          </w:r>
          <w:r>
            <w:fldChar w:fldCharType="begin"/>
          </w:r>
          <w:r>
            <w:instrText xml:space="preserve"> PAGEREF _Toc29678 </w:instrText>
          </w:r>
          <w:r>
            <w:fldChar w:fldCharType="separate"/>
          </w:r>
          <w:r>
            <w:t>46</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_Toc17609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5.4声环境</w:t>
          </w:r>
          <w:r>
            <w:tab/>
          </w:r>
          <w:r>
            <w:fldChar w:fldCharType="begin"/>
          </w:r>
          <w:r>
            <w:instrText xml:space="preserve"> PAGEREF _Toc17609 </w:instrText>
          </w:r>
          <w:r>
            <w:fldChar w:fldCharType="separate"/>
          </w:r>
          <w:r>
            <w:t>46</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_Toc2641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5.5固体废物</w:t>
          </w:r>
          <w:r>
            <w:tab/>
          </w:r>
          <w:r>
            <w:fldChar w:fldCharType="begin"/>
          </w:r>
          <w:r>
            <w:instrText xml:space="preserve"> PAGEREF _Toc2641 </w:instrText>
          </w:r>
          <w:r>
            <w:fldChar w:fldCharType="separate"/>
          </w:r>
          <w:r>
            <w:t>46</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_Toc3618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5.6小结</w:t>
          </w:r>
          <w:r>
            <w:tab/>
          </w:r>
          <w:r>
            <w:fldChar w:fldCharType="begin"/>
          </w:r>
          <w:r>
            <w:instrText xml:space="preserve"> PAGEREF _Toc3618 </w:instrText>
          </w:r>
          <w:r>
            <w:fldChar w:fldCharType="separate"/>
          </w:r>
          <w:r>
            <w:t>47</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_Toc20322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6 运营期环境影响调查</w:t>
          </w:r>
          <w:r>
            <w:tab/>
          </w:r>
          <w:r>
            <w:fldChar w:fldCharType="begin"/>
          </w:r>
          <w:r>
            <w:instrText xml:space="preserve"> PAGEREF _Toc20322 </w:instrText>
          </w:r>
          <w:r>
            <w:fldChar w:fldCharType="separate"/>
          </w:r>
          <w:r>
            <w:t>47</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_Toc1979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6.1生态环境</w:t>
          </w:r>
          <w:r>
            <w:tab/>
          </w:r>
          <w:r>
            <w:fldChar w:fldCharType="begin"/>
          </w:r>
          <w:r>
            <w:instrText xml:space="preserve"> PAGEREF _Toc1979 </w:instrText>
          </w:r>
          <w:r>
            <w:fldChar w:fldCharType="separate"/>
          </w:r>
          <w:r>
            <w:t>47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_Toc985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6.1.1工程占地</w:t>
          </w:r>
          <w:r>
            <w:tab/>
          </w:r>
          <w:r>
            <w:fldChar w:fldCharType="begin"/>
          </w:r>
          <w:r>
            <w:instrText xml:space="preserve"> PAGEREF _Toc985 </w:instrText>
          </w:r>
          <w:r>
            <w:fldChar w:fldCharType="separate"/>
          </w:r>
          <w:r>
            <w:t>47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_Toc5043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6.1.3取、弃土场</w:t>
          </w:r>
          <w:r>
            <w:tab/>
          </w:r>
          <w:r>
            <w:fldChar w:fldCharType="begin"/>
          </w:r>
          <w:r>
            <w:instrText xml:space="preserve"> PAGEREF _Toc5043 </w:instrText>
          </w:r>
          <w:r>
            <w:fldChar w:fldCharType="separate"/>
          </w:r>
          <w:r>
            <w:t>47</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_Toc15479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6.2环境空气及噪声环境</w:t>
          </w:r>
          <w:r>
            <w:tab/>
          </w:r>
          <w:r>
            <w:fldChar w:fldCharType="begin"/>
          </w:r>
          <w:r>
            <w:instrText xml:space="preserve"> PAGEREF _Toc15479 </w:instrText>
          </w:r>
          <w:r>
            <w:fldChar w:fldCharType="separate"/>
          </w:r>
          <w:r>
            <w:t>48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_Toc19042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6.2.1敏感点调查</w:t>
          </w:r>
          <w:r>
            <w:tab/>
          </w:r>
          <w:r>
            <w:fldChar w:fldCharType="begin"/>
          </w:r>
          <w:r>
            <w:instrText xml:space="preserve"> PAGEREF _Toc19042 </w:instrText>
          </w:r>
          <w:r>
            <w:fldChar w:fldCharType="separate"/>
          </w:r>
          <w:r>
            <w:t>48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_Toc5225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6.2.2现状监测内容</w:t>
          </w:r>
          <w:r>
            <w:tab/>
          </w:r>
          <w:r>
            <w:fldChar w:fldCharType="begin"/>
          </w:r>
          <w:r>
            <w:instrText xml:space="preserve"> PAGEREF _Toc5225 </w:instrText>
          </w:r>
          <w:r>
            <w:fldChar w:fldCharType="separate"/>
          </w:r>
          <w:r>
            <w:t>49</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_Toc30127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6.2.3监测结果</w:t>
          </w:r>
          <w:r>
            <w:tab/>
          </w:r>
          <w:r>
            <w:fldChar w:fldCharType="begin"/>
          </w:r>
          <w:r>
            <w:instrText xml:space="preserve"> PAGEREF _Toc30127 </w:instrText>
          </w:r>
          <w:r>
            <w:fldChar w:fldCharType="separate"/>
          </w:r>
          <w:r>
            <w:t>51</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_Toc957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6.3水环境</w:t>
          </w:r>
          <w:r>
            <w:tab/>
          </w:r>
          <w:r>
            <w:fldChar w:fldCharType="begin"/>
          </w:r>
          <w:r>
            <w:instrText xml:space="preserve"> PAGEREF _Toc957 </w:instrText>
          </w:r>
          <w:r>
            <w:fldChar w:fldCharType="separate"/>
          </w:r>
          <w:r>
            <w:t>56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_Toc13352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6.3.1水环境污染源调查</w:t>
          </w:r>
          <w:r>
            <w:tab/>
          </w:r>
          <w:r>
            <w:fldChar w:fldCharType="begin"/>
          </w:r>
          <w:r>
            <w:instrText xml:space="preserve"> PAGEREF _Toc13352 </w:instrText>
          </w:r>
          <w:r>
            <w:fldChar w:fldCharType="separate"/>
          </w:r>
          <w:r>
            <w:t>56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_Toc663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6.3.2监测内容</w:t>
          </w:r>
          <w:r>
            <w:tab/>
          </w:r>
          <w:r>
            <w:fldChar w:fldCharType="begin"/>
          </w:r>
          <w:r>
            <w:instrText xml:space="preserve"> PAGEREF _Toc663 </w:instrText>
          </w:r>
          <w:r>
            <w:fldChar w:fldCharType="separate"/>
          </w:r>
          <w:r>
            <w:t>56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_Toc27110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6.3.3监测结果</w:t>
          </w:r>
          <w:r>
            <w:tab/>
          </w:r>
          <w:r>
            <w:fldChar w:fldCharType="begin"/>
          </w:r>
          <w:r>
            <w:instrText xml:space="preserve"> PAGEREF _Toc27110 </w:instrText>
          </w:r>
          <w:r>
            <w:fldChar w:fldCharType="separate"/>
          </w:r>
          <w:r>
            <w:t>57</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_Toc10000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6.4固体废物</w:t>
          </w:r>
          <w:r>
            <w:tab/>
          </w:r>
          <w:r>
            <w:fldChar w:fldCharType="begin"/>
          </w:r>
          <w:r>
            <w:instrText xml:space="preserve"> PAGEREF _Toc10000 </w:instrText>
          </w:r>
          <w:r>
            <w:fldChar w:fldCharType="separate"/>
          </w:r>
          <w:r>
            <w:t>58</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_Toc5505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7 环境管理与监测计划的落实</w:t>
          </w:r>
          <w:r>
            <w:tab/>
          </w:r>
          <w:r>
            <w:fldChar w:fldCharType="begin"/>
          </w:r>
          <w:r>
            <w:instrText xml:space="preserve"> PAGEREF _Toc5505 </w:instrText>
          </w:r>
          <w:r>
            <w:fldChar w:fldCharType="separate"/>
          </w:r>
          <w:r>
            <w:t>58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_Toc6868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7.1环境管理情况</w:t>
          </w:r>
          <w:r>
            <w:tab/>
          </w:r>
          <w:r>
            <w:fldChar w:fldCharType="begin"/>
          </w:r>
          <w:r>
            <w:instrText xml:space="preserve"> PAGEREF _Toc6868 </w:instrText>
          </w:r>
          <w:r>
            <w:fldChar w:fldCharType="separate"/>
          </w:r>
          <w:r>
            <w:t>58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_Toc4504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7.1.1施工期环境管理</w:t>
          </w:r>
          <w:r>
            <w:tab/>
          </w:r>
          <w:r>
            <w:fldChar w:fldCharType="begin"/>
          </w:r>
          <w:r>
            <w:instrText xml:space="preserve"> PAGEREF _Toc4504 </w:instrText>
          </w:r>
          <w:r>
            <w:fldChar w:fldCharType="separate"/>
          </w:r>
          <w:r>
            <w:t>58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_Toc28420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7.1.2运营期环境管理</w:t>
          </w:r>
          <w:r>
            <w:tab/>
          </w:r>
          <w:r>
            <w:fldChar w:fldCharType="begin"/>
          </w:r>
          <w:r>
            <w:instrText xml:space="preserve"> PAGEREF _Toc28420 </w:instrText>
          </w:r>
          <w:r>
            <w:fldChar w:fldCharType="separate"/>
          </w:r>
          <w:r>
            <w:t>58</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_Toc20419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7.1.3建议</w:t>
          </w:r>
          <w:r>
            <w:tab/>
          </w:r>
          <w:r>
            <w:fldChar w:fldCharType="begin"/>
          </w:r>
          <w:r>
            <w:instrText xml:space="preserve"> PAGEREF _Toc20419 </w:instrText>
          </w:r>
          <w:r>
            <w:fldChar w:fldCharType="separate"/>
          </w:r>
          <w:r>
            <w:t>58</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_Toc18414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7.2监测计划的落实</w:t>
          </w:r>
          <w:r>
            <w:tab/>
          </w:r>
          <w:r>
            <w:fldChar w:fldCharType="begin"/>
          </w:r>
          <w:r>
            <w:instrText xml:space="preserve"> PAGEREF _Toc18414 </w:instrText>
          </w:r>
          <w:r>
            <w:fldChar w:fldCharType="separate"/>
          </w:r>
          <w:r>
            <w:t>58</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_Toc16358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8 公众意见调查</w:t>
          </w:r>
          <w:r>
            <w:tab/>
          </w:r>
          <w:r>
            <w:fldChar w:fldCharType="begin"/>
          </w:r>
          <w:r>
            <w:instrText xml:space="preserve"> PAGEREF _Toc16358 </w:instrText>
          </w:r>
          <w:r>
            <w:fldChar w:fldCharType="separate"/>
          </w:r>
          <w:r>
            <w:t>60</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_Toc26503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8.1调查的目的、对象、方法</w:t>
          </w:r>
          <w:r>
            <w:tab/>
          </w:r>
          <w:r>
            <w:fldChar w:fldCharType="begin"/>
          </w:r>
          <w:r>
            <w:instrText xml:space="preserve"> PAGEREF _Toc26503 </w:instrText>
          </w:r>
          <w:r>
            <w:fldChar w:fldCharType="separate"/>
          </w:r>
          <w:r>
            <w:t>60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_Toc28473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8.1.1调查的目的</w:t>
          </w:r>
          <w:r>
            <w:tab/>
          </w:r>
          <w:r>
            <w:fldChar w:fldCharType="begin"/>
          </w:r>
          <w:r>
            <w:instrText xml:space="preserve"> PAGEREF _Toc28473 </w:instrText>
          </w:r>
          <w:r>
            <w:fldChar w:fldCharType="separate"/>
          </w:r>
          <w:r>
            <w:t>60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_Toc5337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8.1.2调查的对象</w:t>
          </w:r>
          <w:r>
            <w:tab/>
          </w:r>
          <w:r>
            <w:fldChar w:fldCharType="begin"/>
          </w:r>
          <w:r>
            <w:instrText xml:space="preserve"> PAGEREF _Toc5337 </w:instrText>
          </w:r>
          <w:r>
            <w:fldChar w:fldCharType="separate"/>
          </w:r>
          <w:r>
            <w:t>60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_Toc1159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8.1.3调查的方式</w:t>
          </w:r>
          <w:r>
            <w:tab/>
          </w:r>
          <w:r>
            <w:fldChar w:fldCharType="begin"/>
          </w:r>
          <w:r>
            <w:instrText xml:space="preserve"> PAGEREF _Toc1159 </w:instrText>
          </w:r>
          <w:r>
            <w:fldChar w:fldCharType="separate"/>
          </w:r>
          <w:r>
            <w:t>60</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_Toc4033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8.2调查结果</w:t>
          </w:r>
          <w:r>
            <w:tab/>
          </w:r>
          <w:r>
            <w:fldChar w:fldCharType="begin"/>
          </w:r>
          <w:r>
            <w:instrText xml:space="preserve"> PAGEREF _Toc4033 </w:instrText>
          </w:r>
          <w:r>
            <w:fldChar w:fldCharType="separate"/>
          </w:r>
          <w:r>
            <w:t>60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_Toc11122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8.2.1司乘人员</w:t>
          </w:r>
          <w:r>
            <w:tab/>
          </w:r>
          <w:r>
            <w:fldChar w:fldCharType="begin"/>
          </w:r>
          <w:r>
            <w:instrText xml:space="preserve"> PAGEREF _Toc11122 </w:instrText>
          </w:r>
          <w:r>
            <w:fldChar w:fldCharType="separate"/>
          </w:r>
          <w:r>
            <w:t>60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_Toc31662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8.2.2道路沿线公众</w:t>
          </w:r>
          <w:r>
            <w:tab/>
          </w:r>
          <w:r>
            <w:fldChar w:fldCharType="begin"/>
          </w:r>
          <w:r>
            <w:instrText xml:space="preserve"> PAGEREF _Toc31662 </w:instrText>
          </w:r>
          <w:r>
            <w:fldChar w:fldCharType="separate"/>
          </w:r>
          <w:r>
            <w:t>63</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_Toc20156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8.2.3小结与建议</w:t>
          </w:r>
          <w:r>
            <w:tab/>
          </w:r>
          <w:r>
            <w:fldChar w:fldCharType="begin"/>
          </w:r>
          <w:r>
            <w:instrText xml:space="preserve"> PAGEREF _Toc20156 </w:instrText>
          </w:r>
          <w:r>
            <w:fldChar w:fldCharType="separate"/>
          </w:r>
          <w:r>
            <w:t>65</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_Toc16703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9 风险事故防范与应急措施调查</w:t>
          </w:r>
          <w:r>
            <w:tab/>
          </w:r>
          <w:r>
            <w:fldChar w:fldCharType="begin"/>
          </w:r>
          <w:r>
            <w:instrText xml:space="preserve"> PAGEREF _Toc16703 </w:instrText>
          </w:r>
          <w:r>
            <w:fldChar w:fldCharType="separate"/>
          </w:r>
          <w:r>
            <w:t>65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_Toc16863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9.1风险因素调查</w:t>
          </w:r>
          <w:r>
            <w:tab/>
          </w:r>
          <w:r>
            <w:fldChar w:fldCharType="begin"/>
          </w:r>
          <w:r>
            <w:instrText xml:space="preserve"> PAGEREF _Toc16863 </w:instrText>
          </w:r>
          <w:r>
            <w:fldChar w:fldCharType="separate"/>
          </w:r>
          <w:r>
            <w:t>65</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_Toc9716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9.2风险防范与预防措施</w:t>
          </w:r>
          <w:r>
            <w:tab/>
          </w:r>
          <w:r>
            <w:fldChar w:fldCharType="begin"/>
          </w:r>
          <w:r>
            <w:instrText xml:space="preserve"> PAGEREF _Toc9716 </w:instrText>
          </w:r>
          <w:r>
            <w:fldChar w:fldCharType="separate"/>
          </w:r>
          <w:r>
            <w:t>66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_Toc15494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9.2.1主要预防措施</w:t>
          </w:r>
          <w:r>
            <w:tab/>
          </w:r>
          <w:r>
            <w:fldChar w:fldCharType="begin"/>
          </w:r>
          <w:r>
            <w:instrText xml:space="preserve"> PAGEREF _Toc15494 </w:instrText>
          </w:r>
          <w:r>
            <w:fldChar w:fldCharType="separate"/>
          </w:r>
          <w:r>
            <w:t>66</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_Toc4689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9.2.2</w:t>
          </w:r>
          <w:r>
            <w:rPr>
              <w:rFonts w:hint="default" w:ascii="Times New Roman" w:hAnsi="Times New Roman" w:eastAsia="宋体" w:cs="Times New Roman"/>
              <w:szCs w:val="24"/>
              <w:lang w:val="en-US" w:eastAsia="zh-CN"/>
            </w:rPr>
            <w:t>主要应急措施</w:t>
          </w:r>
          <w:r>
            <w:tab/>
          </w:r>
          <w:r>
            <w:fldChar w:fldCharType="begin"/>
          </w:r>
          <w:r>
            <w:instrText xml:space="preserve"> PAGEREF _Toc4689 </w:instrText>
          </w:r>
          <w:r>
            <w:fldChar w:fldCharType="separate"/>
          </w:r>
          <w:r>
            <w:t>67</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_Toc24222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9.2.3应急预案</w:t>
          </w:r>
          <w:r>
            <w:tab/>
          </w:r>
          <w:r>
            <w:fldChar w:fldCharType="begin"/>
          </w:r>
          <w:r>
            <w:instrText xml:space="preserve"> PAGEREF _Toc24222 </w:instrText>
          </w:r>
          <w:r>
            <w:fldChar w:fldCharType="separate"/>
          </w:r>
          <w:r>
            <w:t>69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_Toc543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bCs/>
              <w:szCs w:val="24"/>
              <w:lang w:val="en-US" w:eastAsia="zh-CN"/>
            </w:rPr>
            <w:t>10 调查结论及建议</w:t>
          </w:r>
          <w:r>
            <w:tab/>
          </w:r>
          <w:r>
            <w:fldChar w:fldCharType="begin"/>
          </w:r>
          <w:r>
            <w:instrText xml:space="preserve"> PAGEREF _Toc543 </w:instrText>
          </w:r>
          <w:r>
            <w:fldChar w:fldCharType="separate"/>
          </w:r>
          <w:r>
            <w:t>70</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_Toc27158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10.1调查结论</w:t>
          </w:r>
          <w:r>
            <w:tab/>
          </w:r>
          <w:r>
            <w:fldChar w:fldCharType="begin"/>
          </w:r>
          <w:r>
            <w:instrText xml:space="preserve"> PAGEREF _Toc27158 </w:instrText>
          </w:r>
          <w:r>
            <w:fldChar w:fldCharType="separate"/>
          </w:r>
          <w:r>
            <w:t>70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_Toc14256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10.1.1工程概况</w:t>
          </w:r>
          <w:r>
            <w:tab/>
          </w:r>
          <w:r>
            <w:fldChar w:fldCharType="begin"/>
          </w:r>
          <w:r>
            <w:instrText xml:space="preserve"> PAGEREF _Toc14256 </w:instrText>
          </w:r>
          <w:r>
            <w:fldChar w:fldCharType="separate"/>
          </w:r>
          <w:r>
            <w:t>70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_Toc1936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10.1.2环保措施落实情况</w:t>
          </w:r>
          <w:r>
            <w:tab/>
          </w:r>
          <w:r>
            <w:fldChar w:fldCharType="begin"/>
          </w:r>
          <w:r>
            <w:instrText xml:space="preserve"> PAGEREF _Toc1936 </w:instrText>
          </w:r>
          <w:r>
            <w:fldChar w:fldCharType="separate"/>
          </w:r>
          <w:r>
            <w:t>70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_Toc21078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10.1.3生态环境</w:t>
          </w:r>
          <w:r>
            <w:tab/>
          </w:r>
          <w:r>
            <w:fldChar w:fldCharType="begin"/>
          </w:r>
          <w:r>
            <w:instrText xml:space="preserve"> PAGEREF _Toc21078 </w:instrText>
          </w:r>
          <w:r>
            <w:fldChar w:fldCharType="separate"/>
          </w:r>
          <w:r>
            <w:t>70</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_Toc21893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10.1.4水环境</w:t>
          </w:r>
          <w:r>
            <w:tab/>
          </w:r>
          <w:r>
            <w:fldChar w:fldCharType="begin"/>
          </w:r>
          <w:r>
            <w:instrText xml:space="preserve"> PAGEREF _Toc21893 </w:instrText>
          </w:r>
          <w:r>
            <w:fldChar w:fldCharType="separate"/>
          </w:r>
          <w:r>
            <w:t>71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_Toc10596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10.1.5环境空气</w:t>
          </w:r>
          <w:r>
            <w:tab/>
          </w:r>
          <w:r>
            <w:fldChar w:fldCharType="begin"/>
          </w:r>
          <w:r>
            <w:instrText xml:space="preserve"> PAGEREF _Toc10596 </w:instrText>
          </w:r>
          <w:r>
            <w:fldChar w:fldCharType="separate"/>
          </w:r>
          <w:r>
            <w:t>71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_Toc15793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10.1.6声环境</w:t>
          </w:r>
          <w:r>
            <w:tab/>
          </w:r>
          <w:r>
            <w:fldChar w:fldCharType="begin"/>
          </w:r>
          <w:r>
            <w:instrText xml:space="preserve"> PAGEREF _Toc15793 </w:instrText>
          </w:r>
          <w:r>
            <w:fldChar w:fldCharType="separate"/>
          </w:r>
          <w:r>
            <w:t>71</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_Toc6265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10.1.7固体废物</w:t>
          </w:r>
          <w:r>
            <w:tab/>
          </w:r>
          <w:r>
            <w:fldChar w:fldCharType="begin"/>
          </w:r>
          <w:r>
            <w:instrText xml:space="preserve"> PAGEREF _Toc6265 </w:instrText>
          </w:r>
          <w:r>
            <w:fldChar w:fldCharType="separate"/>
          </w:r>
          <w:r>
            <w:t>72</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_Toc10949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10.1.8公众调查</w:t>
          </w:r>
          <w:r>
            <w:tab/>
          </w:r>
          <w:r>
            <w:fldChar w:fldCharType="begin"/>
          </w:r>
          <w:r>
            <w:instrText xml:space="preserve"> PAGEREF _Toc10949 </w:instrText>
          </w:r>
          <w:r>
            <w:fldChar w:fldCharType="separate"/>
          </w:r>
          <w:r>
            <w:t>72</w:t>
          </w:r>
          <w:r>
            <w:fldChar w:fldCharType="end"/>
          </w:r>
          <w:r>
            <w:rPr>
              <w:rFonts w:hint="default" w:ascii="仿宋" w:hAnsi="仿宋" w:eastAsia="仿宋" w:cs="仿宋"/>
              <w:szCs w:val="32"/>
              <w:lang w:val="en-US" w:eastAsia="zh-CN"/>
            </w:rPr>
            <w:fldChar w:fldCharType="end"/>
          </w:r>
        </w:p>
        <w:p>
          <w:pPr>
            <w:pStyle w:val="4"/>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_Toc3813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10.1.9应急预案</w:t>
          </w:r>
          <w:r>
            <w:tab/>
          </w:r>
          <w:r>
            <w:fldChar w:fldCharType="begin"/>
          </w:r>
          <w:r>
            <w:instrText xml:space="preserve"> PAGEREF _Toc3813 </w:instrText>
          </w:r>
          <w:r>
            <w:fldChar w:fldCharType="separate"/>
          </w:r>
          <w:r>
            <w:t>72</w:t>
          </w:r>
          <w:r>
            <w:fldChar w:fldCharType="end"/>
          </w:r>
          <w:r>
            <w:rPr>
              <w:rFonts w:hint="default" w:ascii="仿宋" w:hAnsi="仿宋" w:eastAsia="仿宋" w:cs="仿宋"/>
              <w:szCs w:val="32"/>
              <w:lang w:val="en-US" w:eastAsia="zh-CN"/>
            </w:rPr>
            <w:fldChar w:fldCharType="end"/>
          </w:r>
        </w:p>
        <w:p>
          <w:pPr>
            <w:pStyle w:val="8"/>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_Toc18601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10.2建议</w:t>
          </w:r>
          <w:r>
            <w:tab/>
          </w:r>
          <w:r>
            <w:fldChar w:fldCharType="begin"/>
          </w:r>
          <w:r>
            <w:instrText xml:space="preserve"> PAGEREF _Toc18601 </w:instrText>
          </w:r>
          <w:r>
            <w:fldChar w:fldCharType="separate"/>
          </w:r>
          <w:r>
            <w:t>72</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_Toc867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附件一：立项文件批复</w:t>
          </w:r>
          <w:r>
            <w:tab/>
          </w:r>
          <w:r>
            <w:fldChar w:fldCharType="begin"/>
          </w:r>
          <w:r>
            <w:instrText xml:space="preserve"> PAGEREF _Toc867 </w:instrText>
          </w:r>
          <w:r>
            <w:fldChar w:fldCharType="separate"/>
          </w:r>
          <w:r>
            <w:t>73</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_Toc3032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附件二：环评批复文件</w:t>
          </w:r>
          <w:r>
            <w:tab/>
          </w:r>
          <w:r>
            <w:fldChar w:fldCharType="begin"/>
          </w:r>
          <w:r>
            <w:instrText xml:space="preserve"> PAGEREF _Toc3032 </w:instrText>
          </w:r>
          <w:r>
            <w:fldChar w:fldCharType="separate"/>
          </w:r>
          <w:r>
            <w:t>75</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_Toc13953 </w:instrText>
          </w:r>
          <w:r>
            <w:rPr>
              <w:rFonts w:hint="default" w:ascii="仿宋" w:hAnsi="仿宋" w:eastAsia="仿宋" w:cs="仿宋"/>
              <w:szCs w:val="32"/>
              <w:lang w:val="en-US" w:eastAsia="zh-CN"/>
            </w:rPr>
            <w:fldChar w:fldCharType="separate"/>
          </w:r>
          <w:r>
            <w:rPr>
              <w:rFonts w:hint="eastAsia" w:ascii="Times New Roman" w:hAnsi="Times New Roman" w:eastAsia="宋体" w:cs="Times New Roman"/>
              <w:szCs w:val="24"/>
              <w:lang w:val="en-US" w:eastAsia="zh-CN"/>
            </w:rPr>
            <w:t>附件三：验收监测报告</w:t>
          </w:r>
          <w:r>
            <w:tab/>
          </w:r>
          <w:r>
            <w:fldChar w:fldCharType="begin"/>
          </w:r>
          <w:r>
            <w:instrText xml:space="preserve"> PAGEREF _Toc13953 </w:instrText>
          </w:r>
          <w:r>
            <w:fldChar w:fldCharType="separate"/>
          </w:r>
          <w:r>
            <w:t>79</w:t>
          </w:r>
          <w:r>
            <w:fldChar w:fldCharType="end"/>
          </w:r>
          <w:r>
            <w:rPr>
              <w:rFonts w:hint="default" w:ascii="仿宋" w:hAnsi="仿宋" w:eastAsia="仿宋" w:cs="仿宋"/>
              <w:szCs w:val="32"/>
              <w:lang w:val="en-US" w:eastAsia="zh-CN"/>
            </w:rPr>
            <w:fldChar w:fldCharType="end"/>
          </w:r>
        </w:p>
        <w:p>
          <w:pPr>
            <w:pStyle w:val="7"/>
            <w:tabs>
              <w:tab w:val="right" w:leader="dot" w:pos="8306"/>
            </w:tabs>
          </w:pPr>
          <w:r>
            <w:rPr>
              <w:rFonts w:hint="default" w:ascii="仿宋" w:hAnsi="仿宋" w:eastAsia="仿宋" w:cs="仿宋"/>
              <w:szCs w:val="32"/>
              <w:lang w:val="en-US" w:eastAsia="zh-CN"/>
            </w:rPr>
            <w:fldChar w:fldCharType="begin"/>
          </w:r>
          <w:r>
            <w:rPr>
              <w:rFonts w:hint="default" w:ascii="仿宋" w:hAnsi="仿宋" w:eastAsia="仿宋" w:cs="仿宋"/>
              <w:szCs w:val="32"/>
              <w:lang w:val="en-US" w:eastAsia="zh-CN"/>
            </w:rPr>
            <w:instrText xml:space="preserve"> HYPERLINK \l _Toc24734 </w:instrText>
          </w:r>
          <w:r>
            <w:rPr>
              <w:rFonts w:hint="default" w:ascii="仿宋" w:hAnsi="仿宋" w:eastAsia="仿宋" w:cs="仿宋"/>
              <w:szCs w:val="32"/>
              <w:lang w:val="en-US" w:eastAsia="zh-CN"/>
            </w:rPr>
            <w:fldChar w:fldCharType="separate"/>
          </w:r>
          <w:r>
            <w:rPr>
              <w:rFonts w:hint="eastAsia"/>
              <w:lang w:val="en-US" w:eastAsia="zh-CN"/>
            </w:rPr>
            <w:t>附件四：验收意见</w:t>
          </w:r>
          <w:r>
            <w:tab/>
          </w:r>
          <w:r>
            <w:fldChar w:fldCharType="begin"/>
          </w:r>
          <w:r>
            <w:instrText xml:space="preserve"> PAGEREF _Toc24734 </w:instrText>
          </w:r>
          <w:r>
            <w:fldChar w:fldCharType="separate"/>
          </w:r>
          <w:r>
            <w:t>118</w:t>
          </w:r>
          <w:r>
            <w:fldChar w:fldCharType="end"/>
          </w:r>
          <w:r>
            <w:rPr>
              <w:rFonts w:hint="default" w:ascii="仿宋" w:hAnsi="仿宋" w:eastAsia="仿宋" w:cs="仿宋"/>
              <w:szCs w:val="32"/>
              <w:lang w:val="en-US" w:eastAsia="zh-CN"/>
            </w:rPr>
            <w:fldChar w:fldCharType="end"/>
          </w:r>
        </w:p>
        <w:p>
          <w:pPr>
            <w:jc w:val="left"/>
            <w:rPr>
              <w:rFonts w:hint="default" w:ascii="仿宋" w:hAnsi="仿宋" w:eastAsia="仿宋" w:cs="仿宋"/>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szCs w:val="32"/>
              <w:lang w:val="en-US" w:eastAsia="zh-CN"/>
            </w:rPr>
            <w:fldChar w:fldCharType="end"/>
          </w:r>
        </w:p>
      </w:sdtContent>
    </w:sdt>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eastAsia" w:ascii="宋体" w:hAnsi="宋体" w:eastAsia="宋体" w:cs="宋体"/>
          <w:b/>
          <w:bCs/>
          <w:sz w:val="32"/>
          <w:szCs w:val="32"/>
          <w:lang w:val="en-US" w:eastAsia="zh-CN"/>
        </w:rPr>
      </w:pPr>
      <w:bookmarkStart w:id="0" w:name="_Toc23817"/>
      <w:r>
        <w:rPr>
          <w:rFonts w:hint="eastAsia" w:ascii="宋体" w:hAnsi="宋体" w:eastAsia="宋体" w:cs="宋体"/>
          <w:b/>
          <w:bCs/>
          <w:sz w:val="32"/>
          <w:szCs w:val="32"/>
          <w:lang w:val="en-US" w:eastAsia="zh-CN"/>
        </w:rPr>
        <w:t>前  言</w:t>
      </w:r>
      <w:bookmarkEnd w:id="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贵阳高新技术产业经济带沙文生态科技产业园</w:t>
      </w:r>
      <w:r>
        <w:rPr>
          <w:rFonts w:hint="eastAsia" w:ascii="Times New Roman" w:hAnsi="Times New Roman" w:eastAsia="宋体" w:cs="Times New Roman"/>
          <w:b w:val="0"/>
          <w:bCs w:val="0"/>
          <w:sz w:val="24"/>
          <w:szCs w:val="24"/>
          <w:lang w:val="en-US" w:eastAsia="zh-CN"/>
        </w:rPr>
        <w:t>麦沙大道</w:t>
      </w:r>
      <w:r>
        <w:rPr>
          <w:rFonts w:hint="default" w:ascii="Times New Roman" w:hAnsi="Times New Roman" w:eastAsia="宋体" w:cs="Times New Roman"/>
          <w:b w:val="0"/>
          <w:bCs w:val="0"/>
          <w:sz w:val="24"/>
          <w:szCs w:val="24"/>
          <w:lang w:val="en-US" w:eastAsia="zh-CN"/>
        </w:rPr>
        <w:t>道路工程是据《贵阳市城区道路网规划（2006~2020）》</w:t>
      </w:r>
      <w:r>
        <w:rPr>
          <w:rFonts w:hint="eastAsia" w:ascii="Times New Roman" w:hAnsi="Times New Roman" w:eastAsia="宋体" w:cs="Times New Roman"/>
          <w:b w:val="0"/>
          <w:bCs w:val="0"/>
          <w:sz w:val="24"/>
          <w:szCs w:val="24"/>
          <w:lang w:val="en-US" w:eastAsia="zh-CN"/>
        </w:rPr>
        <w:t>而规划建设建设的一条主干道。本项目的建设使白云片区、产业园区增加一条横向主要通道，有利于白云区、产业园区的联系，利于各片区资源之间的经贸往来，对产业园区的发展有重大意义。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贵阳高新技术经济带沙文生态科技产业园控制性详细规划》中交通道路规划，区内将依托老210国道、贵遵高等级公路、环城高速等城市干道，改造实施大沙路、白沙路，新建苏庄路、麦苏路东段、高沙路、金蒙路、麦沙大道、金苏大道、金干路、新210国道，内部形成“五横三纵一节点”的干道骨架，与白云经济开发区道路网衔接完善，构成完整的道路体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麦沙大道是麦架沙文高新产业发展用地“一横一纵”道路主骨架重要的横向组成部分，是规划布局的纵向主轴线，南接长岭北路延伸段、刚玉路。道路等级为城市主干道，红线宽度60m，双向十车道。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贵阳高新技术产业经济带沙文生态科技产业园位于贵阳市城区北部，白云区北端，园区以发展高科技产业、实行高效能管理、培育高品位文化、体现高文明素质为目标，着力建设科技园区、生态科技产业园、文明园区。遵循“资源节约型、环境友好型”的方针政策，以此带动园区政治文明、物质文明和精神文明建设更快更好地发展。园区内现有西南通道一贵遵高速公路、贵阳三环线一西北绕城高速、210国道等多条主干公路从园区内穿过，交通优势明显。但作为一个生态科技产业园，园区内现状基本无市政道路和配套管网设施，根据片区的总体规划，片区内部主骨架路网将为“一纵一横”，内外路网的联系主要通过贵遵高速公路、西北绕城高速、210国道、金阳北部路网、白云大道等道路联系。为了园区的发展，首先应尽快启动实施园区的开发建设。而城市基础设施的建设应按照“超前发展、先行一步”的原则进行，因此园区内的基础设施建设就迫在眉睫，本项目作为园区内主干路网“一纵一横”之横向道路，必然成为启动园区基础设施建设的“先头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为此，</w:t>
      </w:r>
      <w:r>
        <w:rPr>
          <w:rFonts w:hint="eastAsia" w:ascii="Times New Roman" w:hAnsi="Times New Roman" w:eastAsia="宋体" w:cs="Times New Roman"/>
          <w:sz w:val="24"/>
          <w:szCs w:val="24"/>
          <w:lang w:eastAsia="zh-CN"/>
        </w:rPr>
        <w:t>贵阳高科控股集团有限公司</w:t>
      </w:r>
      <w:r>
        <w:rPr>
          <w:rFonts w:hint="default" w:ascii="Times New Roman" w:hAnsi="Times New Roman" w:eastAsia="宋体" w:cs="Times New Roman"/>
          <w:sz w:val="24"/>
          <w:szCs w:val="24"/>
        </w:rPr>
        <w:t>实施本项目，道路全段设计为60km/h行车速度、路宽60m的城市主干道，总长7.01km</w:t>
      </w:r>
      <w:r>
        <w:rPr>
          <w:rFonts w:hint="eastAsia" w:ascii="Times New Roman" w:hAnsi="Times New Roman" w:eastAsia="宋体" w:cs="Times New Roman"/>
          <w:sz w:val="24"/>
          <w:szCs w:val="24"/>
          <w:lang w:eastAsia="zh-CN"/>
        </w:rPr>
        <w:t>，总投资</w:t>
      </w:r>
      <w:r>
        <w:rPr>
          <w:rFonts w:hint="eastAsia" w:ascii="Times New Roman" w:hAnsi="Times New Roman" w:eastAsia="宋体" w:cs="Times New Roman"/>
          <w:sz w:val="24"/>
          <w:szCs w:val="24"/>
          <w:lang w:val="en-US" w:eastAsia="zh-CN"/>
        </w:rPr>
        <w:t>91813.51万元</w:t>
      </w:r>
      <w:r>
        <w:rPr>
          <w:rFonts w:hint="default" w:ascii="Times New Roman" w:hAnsi="Times New Roman" w:eastAsia="宋体" w:cs="Times New Roman"/>
          <w:sz w:val="24"/>
          <w:szCs w:val="24"/>
        </w:rPr>
        <w:t>。贵阳建筑设计院有限公司于2008年6月编制了《贵阳高新技术产业经济带沙文生态科技产业园麦沙大道道路工程可行性研究报告》，贵阳市发展和改革委员会于2008年6月以筑发改投字[2008]426号文同意项目建设。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根据《中华人民共和国环境保护法》及《建设项目竣工环境保护验收管理办法》（国家环保总局第</w:t>
      </w:r>
      <w:r>
        <w:rPr>
          <w:rFonts w:hint="default" w:ascii="Times New Roman" w:hAnsi="Times New Roman" w:eastAsia="宋体" w:cs="Times New Roman"/>
          <w:sz w:val="24"/>
          <w:szCs w:val="24"/>
          <w:lang w:val="en-US" w:eastAsia="zh-CN"/>
        </w:rPr>
        <w:t>13</w:t>
      </w:r>
      <w:r>
        <w:rPr>
          <w:rFonts w:hint="eastAsia" w:ascii="Times New Roman" w:hAnsi="Times New Roman" w:eastAsia="宋体" w:cs="Times New Roman"/>
          <w:sz w:val="24"/>
          <w:szCs w:val="24"/>
          <w:lang w:val="en-US" w:eastAsia="zh-CN"/>
        </w:rPr>
        <w:t>号令）等有关规定，按照环境保护设施与主体工程同时设计、同时施工、同时投入使用的</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三同时</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制度的要求，需查清工程在施工过程中对环境影响报告书和工程设计文件所提出的环境保护措施和建议的落实情况，调查分析公路在建设和运营期间对环境已造成的实际影响及可能存在的潜在影响，以便采取有效的环境保护补救措施，全面做好环境保护工作，为工程竣工环境保护验收提供依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我公司于2020年3月份接受贵阳高科控股集团有限公司委托，对麦沙大道道路工程进行竣工环境保护验收调查并组织监测，编制《贵阳高新技术产业经济带沙文生态科技产业园麦沙大道道路工程竣工环境保护验收调查报告》。</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宋体" w:cs="Times New Roman"/>
          <w:b/>
          <w:bCs/>
          <w:sz w:val="28"/>
          <w:szCs w:val="28"/>
          <w:lang w:val="en-US" w:eastAsia="zh-CN"/>
        </w:rPr>
      </w:pPr>
      <w:bookmarkStart w:id="1" w:name="_Toc14589"/>
      <w:r>
        <w:rPr>
          <w:rFonts w:hint="default" w:ascii="Times New Roman" w:hAnsi="Times New Roman" w:eastAsia="宋体" w:cs="Times New Roman"/>
          <w:b/>
          <w:bCs/>
          <w:sz w:val="28"/>
          <w:szCs w:val="28"/>
          <w:lang w:val="en-US" w:eastAsia="zh-CN"/>
        </w:rPr>
        <w:t>1 总论</w:t>
      </w:r>
      <w:bookmarkEnd w:id="1"/>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sz w:val="24"/>
          <w:szCs w:val="24"/>
          <w:lang w:val="en-US" w:eastAsia="zh-CN"/>
        </w:rPr>
      </w:pPr>
      <w:bookmarkStart w:id="2" w:name="_Toc22775"/>
      <w:r>
        <w:rPr>
          <w:rFonts w:hint="default" w:ascii="Times New Roman" w:hAnsi="Times New Roman" w:eastAsia="宋体" w:cs="Times New Roman"/>
          <w:sz w:val="24"/>
          <w:szCs w:val="24"/>
          <w:lang w:val="en-US" w:eastAsia="zh-CN"/>
        </w:rPr>
        <w:t>1.1编制依据</w:t>
      </w:r>
      <w:bookmarkEnd w:id="2"/>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3" w:name="_Toc13047"/>
      <w:r>
        <w:rPr>
          <w:rFonts w:hint="default" w:ascii="Times New Roman" w:hAnsi="Times New Roman" w:eastAsia="宋体" w:cs="Times New Roman"/>
          <w:sz w:val="24"/>
          <w:szCs w:val="24"/>
          <w:lang w:val="en-US" w:eastAsia="zh-CN"/>
        </w:rPr>
        <w:t>1.1.1法律法规</w:t>
      </w:r>
      <w:bookmarkEnd w:id="3"/>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《中华人民共和国环境保护法》（2014.4.24）</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《中华人民共和国水土保持法》（201</w:t>
      </w:r>
      <w:r>
        <w:rPr>
          <w:rFonts w:hint="eastAsia"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12.25</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《中华人民共和国土地管理法》（2004.8.28）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《中华人民共和国环境噪声污染防治法》（1996.10.29）</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《中华人民共和国水污染防治法》（2008.2.28）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《中华人民共和国大气污染防治法》（2000.4.29）</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《中华人民共和国固体废物污染环境防治法》（2004.12.29）</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《中华人民共和国环境影响评价法》（2002.10.28）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《中华人民共和国公路法》（2004.8.28）</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《建设项目环境保护管理条例》（国务院令第</w:t>
      </w:r>
      <w:r>
        <w:rPr>
          <w:rFonts w:hint="eastAsia" w:ascii="Times New Roman" w:hAnsi="Times New Roman" w:eastAsia="宋体" w:cs="Times New Roman"/>
          <w:sz w:val="24"/>
          <w:szCs w:val="24"/>
          <w:lang w:val="en-US" w:eastAsia="zh-CN"/>
        </w:rPr>
        <w:t>682</w:t>
      </w:r>
      <w:r>
        <w:rPr>
          <w:rFonts w:hint="default" w:ascii="Times New Roman" w:hAnsi="Times New Roman" w:eastAsia="宋体" w:cs="Times New Roman"/>
          <w:sz w:val="24"/>
          <w:szCs w:val="24"/>
          <w:lang w:val="en-US" w:eastAsia="zh-CN"/>
        </w:rPr>
        <w:t>号，</w:t>
      </w:r>
      <w:r>
        <w:rPr>
          <w:rFonts w:hint="eastAsia" w:ascii="Times New Roman" w:hAnsi="Times New Roman" w:eastAsia="宋体" w:cs="Times New Roman"/>
          <w:sz w:val="24"/>
          <w:szCs w:val="24"/>
          <w:lang w:val="en-US" w:eastAsia="zh-CN"/>
        </w:rPr>
        <w:t>2017.07.16</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《建设项目竣工环境保护验收</w:t>
      </w:r>
      <w:r>
        <w:rPr>
          <w:rFonts w:hint="eastAsia" w:ascii="Times New Roman" w:hAnsi="Times New Roman" w:eastAsia="宋体" w:cs="Times New Roman"/>
          <w:sz w:val="24"/>
          <w:szCs w:val="24"/>
          <w:lang w:val="en-US" w:eastAsia="zh-CN"/>
        </w:rPr>
        <w:t>暂行</w:t>
      </w:r>
      <w:r>
        <w:rPr>
          <w:rFonts w:hint="default" w:ascii="Times New Roman" w:hAnsi="Times New Roman" w:eastAsia="宋体" w:cs="Times New Roman"/>
          <w:sz w:val="24"/>
          <w:szCs w:val="24"/>
          <w:lang w:val="en-US" w:eastAsia="zh-CN"/>
        </w:rPr>
        <w:t>办法》（</w:t>
      </w:r>
      <w:r>
        <w:rPr>
          <w:rFonts w:hint="eastAsia" w:ascii="Times New Roman" w:hAnsi="Times New Roman" w:eastAsia="宋体" w:cs="Times New Roman"/>
          <w:sz w:val="24"/>
          <w:szCs w:val="24"/>
          <w:lang w:val="en-US" w:eastAsia="zh-CN"/>
        </w:rPr>
        <w:t>国环规环评[2017]4号，2017.11.20</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《饮用水水源保护区污染防治管理规定》（国家环保总局</w:t>
      </w:r>
      <w:r>
        <w:rPr>
          <w:rFonts w:hint="eastAsia" w:ascii="Times New Roman" w:hAnsi="Times New Roman" w:eastAsia="宋体" w:cs="Times New Roman"/>
          <w:sz w:val="24"/>
          <w:szCs w:val="24"/>
          <w:lang w:val="en-US" w:eastAsia="zh-CN"/>
        </w:rPr>
        <w:t>2010.12.22</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《基本农田保护条例》（国务院第257号令，1998.12.2</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《土地复垦规定》（国务院，198</w:t>
      </w:r>
      <w:r>
        <w:rPr>
          <w:rFonts w:hint="eastAsia" w:ascii="Times New Roman" w:hAnsi="Times New Roman" w:eastAsia="宋体" w:cs="Times New Roman"/>
          <w:sz w:val="24"/>
          <w:szCs w:val="24"/>
          <w:lang w:val="en-US" w:eastAsia="zh-CN"/>
        </w:rPr>
        <w:t>9.1.1</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《关于环境保护若干问题的决定》（国发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1996</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31号）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《关于建设项目环境保护设施竣工验收监测管理有关问题的通知》（环发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2000</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38号）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《国务院进一步推行全国绿色通道建设的通知》（国发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2000</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31号）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《国务院关于坚决制止占用基本农田进行植树等行为的紧急通知》（国发明电</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2004</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《国家环境保护总局、国家发展和改革委员会、交通部关于加强公路规划和建设环境影响评价工作的通知》（环发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2007</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184号）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《关于建设项目竣工环境保护验收实行公示的通知》（国家环保总局26号文，2003）</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《建设项目竣工环境保护验收技术规范生态影响类》（HJ/T394/2007，国家环境保护总局，2008.2.1）</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《环境保护部建设项目</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三同时</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监督检查和竣工环保验收管理规程（试行）》（环发</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2009</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150号，环境保护部）</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《建设项目竣工环境保护验收技术规范 公路》（HJ552-2010）</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《公路建设项目环境影响评价规范》（JT05-20</w:t>
      </w:r>
      <w:r>
        <w:rPr>
          <w:rFonts w:hint="eastAsia"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val="en-US" w:eastAsia="zh-CN"/>
        </w:rPr>
        <w:t>6，交通部）</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《贵州省环境保护条例》（2009.6）。</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eastAsia" w:ascii="Times New Roman" w:hAnsi="Times New Roman" w:eastAsia="宋体" w:cs="Times New Roman"/>
          <w:sz w:val="24"/>
          <w:szCs w:val="24"/>
          <w:lang w:val="en-US" w:eastAsia="zh-CN"/>
        </w:rPr>
      </w:pPr>
      <w:bookmarkStart w:id="4" w:name="_Toc14050"/>
      <w:r>
        <w:rPr>
          <w:rFonts w:hint="eastAsia" w:ascii="Times New Roman" w:hAnsi="Times New Roman" w:eastAsia="宋体" w:cs="Times New Roman"/>
          <w:sz w:val="24"/>
          <w:szCs w:val="24"/>
          <w:lang w:val="en-US" w:eastAsia="zh-CN"/>
        </w:rPr>
        <w:t>1.1.2工程技术资料</w:t>
      </w:r>
      <w:bookmarkEnd w:id="4"/>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《关于贵阳高新技术产业经济带沙文生态科技产业园麦沙大道道路工程建设项目立项的批复》（筑发改投字[2008]426号），贵阳市发展和和改革委员会，2016.11.25；</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《贵阳高新技术产业经济带沙文生态科技产业园麦沙大道道路工程环境影响评价报告书》，贵州省环境科学研究设计院，2009.03；</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《关于贵阳高新技术产业经济带沙文生态科技产业园麦沙大道道路工程环境影响评价报告书的批复》（黔环函[2009]186号），贵州省环境保护厅，2009.04.03。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5" w:name="_Toc30286"/>
      <w:r>
        <w:rPr>
          <w:rFonts w:hint="eastAsia" w:ascii="Times New Roman" w:hAnsi="Times New Roman" w:eastAsia="宋体" w:cs="Times New Roman"/>
          <w:sz w:val="24"/>
          <w:szCs w:val="24"/>
          <w:lang w:val="en-US" w:eastAsia="zh-CN"/>
        </w:rPr>
        <w:t>1.2调查目的</w:t>
      </w:r>
      <w:bookmarkEnd w:id="5"/>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调查工程在设计、施工、运行和管理等方面落实环境影响报告书提出的环保措施情况，以及对各级行政主管部门批复要求的落实情况；</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调查本工程已采取的生态保护、水土保持及污染控制措施，并通过对项目所在区域环境现状监测和调查结果，分析各项措施实施的有效性，针对已产生的环境问题及可能存在的潜在环境影响，提出切实可行的补救措施，对已实施的尚不完善的措施提出改进意见；</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根据工程环境影响情况的调查，客观、公正地从技术上论证该公路是否符合竣工环境保护验收条件。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6" w:name="_Toc5040"/>
      <w:r>
        <w:rPr>
          <w:rFonts w:hint="eastAsia" w:ascii="Times New Roman" w:hAnsi="Times New Roman" w:eastAsia="宋体" w:cs="Times New Roman"/>
          <w:sz w:val="24"/>
          <w:szCs w:val="24"/>
          <w:lang w:val="en-US" w:eastAsia="zh-CN"/>
        </w:rPr>
        <w:t>1.3调查方法</w:t>
      </w:r>
      <w:bookmarkEnd w:id="6"/>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原则上采用《建设项目竣工环境保护验收技术规范</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val="en-US" w:eastAsia="zh-CN"/>
        </w:rPr>
        <w:t>生态影响类》和《建设项目竣工环境保护验收技术规范 公路》要求执行，并参照《公路建设项目环境影响评价规范》规定的方法；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环境影响分析采用资料调研、现场调查和现状监测相结合的方法；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线路调查采用“逐点逐段、点段结合、突出重点”的方法；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环境保护措施有效性分析采用改进已有措施与提出补救措施相结合的方法。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r>
        <w:drawing>
          <wp:inline distT="0" distB="0" distL="114300" distR="114300">
            <wp:extent cx="5271135" cy="6235065"/>
            <wp:effectExtent l="0" t="0" r="5715" b="133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4"/>
                    <a:stretch>
                      <a:fillRect/>
                    </a:stretch>
                  </pic:blipFill>
                  <pic:spPr>
                    <a:xfrm>
                      <a:off x="0" y="0"/>
                      <a:ext cx="5271135" cy="62350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lang w:eastAsia="zh-CN"/>
        </w:rPr>
      </w:pPr>
      <w:r>
        <w:rPr>
          <w:rFonts w:hint="eastAsia"/>
          <w:lang w:eastAsia="zh-CN"/>
        </w:rPr>
        <w:t>验收调查工作流程图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default" w:ascii="Times New Roman" w:hAnsi="Times New Roman" w:cs="Times New Roman"/>
          <w:lang w:val="en-US" w:eastAsia="zh-CN"/>
        </w:rPr>
      </w:pPr>
      <w:bookmarkStart w:id="7" w:name="_Toc12550"/>
      <w:r>
        <w:rPr>
          <w:rFonts w:hint="default" w:ascii="Times New Roman" w:hAnsi="Times New Roman" w:cs="Times New Roman"/>
          <w:lang w:val="en-US" w:eastAsia="zh-CN"/>
        </w:rPr>
        <w:t>1.4调查范围及因子</w:t>
      </w:r>
      <w:bookmarkEnd w:id="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cs="Times New Roman"/>
          <w:lang w:val="en-US" w:eastAsia="zh-CN"/>
        </w:rPr>
      </w:pPr>
      <w:bookmarkStart w:id="8" w:name="_Toc8006"/>
      <w:r>
        <w:rPr>
          <w:rFonts w:hint="default" w:ascii="Times New Roman" w:hAnsi="Times New Roman" w:cs="Times New Roman"/>
          <w:lang w:val="en-US" w:eastAsia="zh-CN"/>
        </w:rPr>
        <w:t>1.4.1</w:t>
      </w:r>
      <w:r>
        <w:rPr>
          <w:rFonts w:hint="eastAsia" w:ascii="Times New Roman" w:hAnsi="Times New Roman" w:cs="Times New Roman"/>
          <w:lang w:val="en-US" w:eastAsia="zh-CN"/>
        </w:rPr>
        <w:t>调查范围</w:t>
      </w:r>
      <w:bookmarkEnd w:id="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竣工环境保护验收调查的范围为高新技术产业经济带沙文生态科技产业园麦沙大道道路工程沿线设施、敏感点等。本道路起点K0+000西起白云北路延伸段，在该处与白云北路延伸段及规划道路形成十字形的平面交叉口。然后道路往东北方向延伸，在K0+387处设 R=700m的曲线后左偏，道路继续向东北方向延伸，在K1+538处设R=800m的曲线后，路线呈水平向东延伸，于K2+020处上跨麦架河，K2+100至K2+500道路右侧穿过玫瑰基地，在K3+580处道路左侧穿过白云区麻堡小学，在K5+500处道路左侧穿过白云区云山碳素厂、白云区镀锌厂，在K5+850处设R=3500m的曲线后路线向东北方向延伸，于K6+200处经过域口，最后路线沿规划走向分别与210国道相交，终点下穿贵遵高速公路后接规划的盐沙线终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本工程主要控制点为起点接白云北路延伸段、沿线河道防洪水位、规划道路、K2+020处上跨麦架河、规划金苏大道、K4+700上跨麦架河、210国道、下穿贵遵路标高，沿线现状建筑物等。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依据环境影响报告书，结合工程的具体情况，此次验收调查范围如下：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（1）生态调查范围：公路中心线两侧各300m以内区域，弃渣场、料场等。经过景区范围内时调查范围扩大到2~8km 或整个敏感区内。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（2）声环境调查范围：道路中心线两侧200m范围内的居民住宅、学校等声环境敏感点，重点调查100m范围内受影响的敏感点。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（3）地表水环境（含运输事故风险）调查范围：公路中心线两侧各200m以内的水库、河流、湖泊区域。跨河路段，范围延至桥位上游100m，下游1000m区域。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（4）环境空气调查范围：路中心线两侧各200m范围内。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（5）社会环境调查范围：公路中心线两侧各200m以内的敏感点（如居民点、学校等）</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9" w:name="_Toc19885"/>
      <w:r>
        <w:rPr>
          <w:rFonts w:hint="eastAsia" w:ascii="Times New Roman" w:hAnsi="Times New Roman" w:eastAsia="宋体" w:cs="Times New Roman"/>
          <w:sz w:val="24"/>
          <w:szCs w:val="24"/>
          <w:lang w:val="en-US" w:eastAsia="zh-CN"/>
        </w:rPr>
        <w:t>1.4.2调查因子</w:t>
      </w:r>
      <w:bookmarkEnd w:id="9"/>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生态环境：野生动植物、工程占地类型、取弃土（渣）场的生态恢复状况及已采取的措施、护坡工程及其效果、土地整治工程及其效果、绿化工程及其效果、路基及边坡排水工程的实施效果的调查等；</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声环境：等效声级L</w:t>
      </w:r>
      <w:r>
        <w:rPr>
          <w:rFonts w:hint="default" w:ascii="Times New Roman" w:hAnsi="Times New Roman" w:eastAsia="宋体" w:cs="Times New Roman"/>
          <w:sz w:val="24"/>
          <w:szCs w:val="24"/>
          <w:vertAlign w:val="subscript"/>
          <w:lang w:val="en-US" w:eastAsia="zh-CN"/>
        </w:rPr>
        <w:t>Aeq</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水污染源：</w:t>
      </w:r>
      <w:r>
        <w:rPr>
          <w:rFonts w:hint="eastAsia" w:ascii="Times New Roman" w:hAnsi="Times New Roman" w:eastAsia="宋体" w:cs="Times New Roman"/>
          <w:sz w:val="24"/>
          <w:szCs w:val="24"/>
          <w:lang w:val="en-US" w:eastAsia="zh-CN"/>
        </w:rPr>
        <w:t>COD</w:t>
      </w:r>
      <w:r>
        <w:rPr>
          <w:rFonts w:hint="default" w:ascii="Times New Roman" w:hAnsi="Times New Roman" w:eastAsia="宋体" w:cs="Times New Roman"/>
          <w:sz w:val="24"/>
          <w:szCs w:val="24"/>
          <w:lang w:val="en-US" w:eastAsia="zh-CN"/>
        </w:rPr>
        <w:t>、SS、石油类、氨氮、</w:t>
      </w:r>
      <w:r>
        <w:rPr>
          <w:rFonts w:hint="eastAsia" w:ascii="Times New Roman" w:hAnsi="Times New Roman" w:eastAsia="宋体" w:cs="Times New Roman"/>
          <w:sz w:val="24"/>
          <w:szCs w:val="24"/>
          <w:lang w:val="en-US" w:eastAsia="zh-CN"/>
        </w:rPr>
        <w:t>p</w:t>
      </w:r>
      <w:r>
        <w:rPr>
          <w:rFonts w:hint="default" w:ascii="Times New Roman" w:hAnsi="Times New Roman" w:eastAsia="宋体" w:cs="Times New Roman"/>
          <w:sz w:val="24"/>
          <w:szCs w:val="24"/>
          <w:lang w:val="en-US" w:eastAsia="zh-CN"/>
        </w:rPr>
        <w:t>H，以及污（废）水排放量及排放去向；</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运输事故风险：排水设施、相关防范措施、应急预案及管理办法；</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大气污染源：NO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、TSP。</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10" w:name="_Toc13101"/>
      <w:r>
        <w:rPr>
          <w:rFonts w:hint="eastAsia" w:ascii="Times New Roman" w:hAnsi="Times New Roman" w:eastAsia="宋体" w:cs="Times New Roman"/>
          <w:sz w:val="24"/>
          <w:szCs w:val="24"/>
          <w:lang w:val="en-US" w:eastAsia="zh-CN"/>
        </w:rPr>
        <w:t>1.5验收标准</w:t>
      </w:r>
      <w:bookmarkEnd w:id="1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60" w:firstLineChars="200"/>
        <w:jc w:val="both"/>
        <w:textAlignment w:val="auto"/>
        <w:outlineLvl w:val="9"/>
        <w:rPr>
          <w:rFonts w:hint="eastAsia" w:ascii="宋体" w:hAnsi="宋体" w:eastAsia="宋体" w:cs="宋体"/>
          <w:sz w:val="24"/>
          <w:szCs w:val="24"/>
        </w:rPr>
      </w:pPr>
      <w:r>
        <w:rPr>
          <w:rFonts w:hint="eastAsia" w:ascii="宋体" w:hAnsi="宋体" w:eastAsia="宋体" w:cs="宋体"/>
          <w:spacing w:val="-5"/>
          <w:sz w:val="24"/>
          <w:szCs w:val="24"/>
        </w:rPr>
        <w:t>验收调查原则上采用环境影响报告书所采用的环境标准，对已修订重新颁布</w:t>
      </w:r>
      <w:r>
        <w:rPr>
          <w:rFonts w:hint="eastAsia" w:ascii="宋体" w:hAnsi="宋体" w:eastAsia="宋体" w:cs="宋体"/>
          <w:sz w:val="24"/>
          <w:szCs w:val="24"/>
        </w:rPr>
        <w:t>的标准则采用替代后的新标准进行校核。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eastAsia" w:ascii="Times New Roman" w:hAnsi="Times New Roman" w:cs="Times New Roman"/>
          <w:sz w:val="24"/>
          <w:szCs w:val="24"/>
          <w:lang w:val="en-US" w:eastAsia="zh-CN"/>
        </w:rPr>
      </w:pPr>
      <w:bookmarkStart w:id="11" w:name="_Toc23555"/>
      <w:r>
        <w:rPr>
          <w:rFonts w:hint="default" w:ascii="Times New Roman" w:hAnsi="Times New Roman" w:cs="Times New Roman"/>
          <w:sz w:val="24"/>
          <w:szCs w:val="24"/>
          <w:lang w:val="en-US" w:eastAsia="zh-CN"/>
        </w:rPr>
        <w:t>1.5.1</w:t>
      </w:r>
      <w:r>
        <w:rPr>
          <w:rFonts w:hint="eastAsia" w:ascii="Times New Roman" w:hAnsi="Times New Roman" w:cs="Times New Roman"/>
          <w:sz w:val="24"/>
          <w:szCs w:val="24"/>
          <w:lang w:val="en-US" w:eastAsia="zh-CN"/>
        </w:rPr>
        <w:t>环境质量标准</w:t>
      </w:r>
      <w:bookmarkEnd w:id="11"/>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环境噪声执行《声环境质量标准》（GB3096-2008）。公路两侧红线外35m以内的区域执行4a 标准（昼70dB夜55dB），35m以外200m以内的区域执行2类标准（昼60dB夜50dB）；调查范围内的学校、医院等特殊敏感区域一律执行2类标准（昼60dB夜 0dB）。具体标准值见表1.5</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表1.5.1-1 声环境质量标准（GB 3096-2008）</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1450"/>
        <w:gridCol w:w="1317"/>
        <w:gridCol w:w="4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hAnsi="Times New Roman" w:eastAsia="宋体" w:cs="Times New Roman"/>
                <w:b/>
                <w:kern w:val="2"/>
                <w:sz w:val="21"/>
                <w:szCs w:val="21"/>
                <w:lang w:val="en-US" w:eastAsia="zh-CN" w:bidi="zh-CN"/>
              </w:rPr>
            </w:pPr>
            <w:r>
              <w:rPr>
                <w:rFonts w:hint="eastAsia" w:ascii="宋体" w:eastAsia="宋体"/>
                <w:b/>
                <w:sz w:val="21"/>
                <w:szCs w:val="21"/>
              </w:rPr>
              <w:t>类别</w:t>
            </w:r>
          </w:p>
        </w:tc>
        <w:tc>
          <w:tcPr>
            <w:tcW w:w="145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hAnsi="Times New Roman" w:eastAsia="宋体" w:cs="Times New Roman"/>
                <w:b/>
                <w:kern w:val="2"/>
                <w:sz w:val="21"/>
                <w:szCs w:val="21"/>
                <w:lang w:val="en-US" w:eastAsia="zh-CN" w:bidi="zh-CN"/>
              </w:rPr>
            </w:pPr>
            <w:r>
              <w:rPr>
                <w:rFonts w:hint="eastAsia" w:ascii="宋体" w:eastAsia="宋体"/>
                <w:b/>
                <w:sz w:val="21"/>
                <w:szCs w:val="21"/>
              </w:rPr>
              <w:t>昼间</w:t>
            </w:r>
          </w:p>
        </w:tc>
        <w:tc>
          <w:tcPr>
            <w:tcW w:w="131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hAnsi="Times New Roman" w:eastAsia="宋体" w:cs="Times New Roman"/>
                <w:b/>
                <w:kern w:val="2"/>
                <w:sz w:val="21"/>
                <w:szCs w:val="21"/>
                <w:lang w:val="en-US" w:eastAsia="zh-CN" w:bidi="zh-CN"/>
              </w:rPr>
            </w:pPr>
            <w:r>
              <w:rPr>
                <w:rFonts w:hint="eastAsia" w:ascii="宋体" w:eastAsia="宋体"/>
                <w:b/>
                <w:sz w:val="21"/>
                <w:szCs w:val="21"/>
              </w:rPr>
              <w:t>夜间</w:t>
            </w:r>
          </w:p>
        </w:tc>
        <w:tc>
          <w:tcPr>
            <w:tcW w:w="468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宋体" w:eastAsia="宋体"/>
                <w:b/>
                <w:sz w:val="21"/>
                <w:szCs w:val="21"/>
                <w:lang w:val="en-US" w:eastAsia="zh-CN"/>
              </w:rPr>
            </w:pPr>
            <w:r>
              <w:rPr>
                <w:rFonts w:hint="eastAsia" w:ascii="宋体" w:eastAsia="宋体"/>
                <w:b/>
                <w:sz w:val="21"/>
                <w:szCs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2类</w:t>
            </w:r>
          </w:p>
        </w:tc>
        <w:tc>
          <w:tcPr>
            <w:tcW w:w="14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60dB</w:t>
            </w:r>
          </w:p>
        </w:tc>
        <w:tc>
          <w:tcPr>
            <w:tcW w:w="1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50dB</w:t>
            </w:r>
          </w:p>
        </w:tc>
        <w:tc>
          <w:tcPr>
            <w:tcW w:w="46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以商业金融、集市贸易为主要功能，或者居住、商业、工业混 杂，需要维护住宅安静的区域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4a类</w:t>
            </w:r>
          </w:p>
        </w:tc>
        <w:tc>
          <w:tcPr>
            <w:tcW w:w="14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70dB</w:t>
            </w:r>
          </w:p>
        </w:tc>
        <w:tc>
          <w:tcPr>
            <w:tcW w:w="1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55dB</w:t>
            </w:r>
          </w:p>
        </w:tc>
        <w:tc>
          <w:tcPr>
            <w:tcW w:w="46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高速公路、一级公路、二级公路、城市快速路、城市主干路 城市次干路、城市轨道交通（地面段）、内河航道两侧区域</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position w:val="2"/>
          <w:sz w:val="24"/>
          <w:szCs w:val="24"/>
        </w:rPr>
        <w:t>NO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pacing w:val="-17"/>
          <w:position w:val="2"/>
          <w:sz w:val="24"/>
          <w:szCs w:val="24"/>
        </w:rPr>
        <w:t>、</w:t>
      </w:r>
      <w:r>
        <w:rPr>
          <w:rFonts w:hint="default" w:ascii="Times New Roman" w:hAnsi="Times New Roman" w:eastAsia="宋体" w:cs="Times New Roman"/>
          <w:position w:val="2"/>
          <w:sz w:val="24"/>
          <w:szCs w:val="24"/>
        </w:rPr>
        <w:t>TSP</w:t>
      </w:r>
      <w:r>
        <w:rPr>
          <w:rFonts w:hint="default" w:ascii="Times New Roman" w:hAnsi="Times New Roman" w:eastAsia="宋体" w:cs="Times New Roman"/>
          <w:spacing w:val="-4"/>
          <w:position w:val="2"/>
          <w:sz w:val="24"/>
          <w:szCs w:val="24"/>
        </w:rPr>
        <w:t>均执行《环境空气质量标准</w:t>
      </w:r>
      <w:r>
        <w:rPr>
          <w:rFonts w:hint="default" w:ascii="Times New Roman" w:hAnsi="Times New Roman" w:eastAsia="宋体" w:cs="Times New Roman"/>
          <w:spacing w:val="-137"/>
          <w:position w:val="2"/>
          <w:sz w:val="24"/>
          <w:szCs w:val="24"/>
        </w:rPr>
        <w:t>》</w:t>
      </w:r>
      <w:r>
        <w:rPr>
          <w:rFonts w:hint="default" w:ascii="Times New Roman" w:hAnsi="Times New Roman" w:eastAsia="宋体" w:cs="Times New Roman"/>
          <w:position w:val="2"/>
          <w:sz w:val="24"/>
          <w:szCs w:val="24"/>
        </w:rPr>
        <w:t>（GB3095-1996）</w:t>
      </w:r>
      <w:r>
        <w:rPr>
          <w:rFonts w:hint="default" w:ascii="Times New Roman" w:hAnsi="Times New Roman" w:eastAsia="宋体" w:cs="Times New Roman"/>
          <w:spacing w:val="-4"/>
          <w:position w:val="2"/>
          <w:sz w:val="24"/>
          <w:szCs w:val="24"/>
        </w:rPr>
        <w:t>中的二级标准</w:t>
      </w:r>
      <w:r>
        <w:rPr>
          <w:rFonts w:hint="eastAsia" w:ascii="Times New Roman" w:hAnsi="Times New Roman" w:eastAsia="宋体" w:cs="Times New Roman"/>
          <w:spacing w:val="-4"/>
          <w:position w:val="2"/>
          <w:sz w:val="24"/>
          <w:szCs w:val="24"/>
          <w:lang w:eastAsia="zh-CN"/>
        </w:rPr>
        <w:t>。</w:t>
      </w:r>
      <w:r>
        <w:rPr>
          <w:rFonts w:hint="default" w:ascii="Times New Roman" w:hAnsi="Times New Roman" w:cs="Times New Roman"/>
          <w:sz w:val="24"/>
          <w:szCs w:val="24"/>
          <w:lang w:val="en-US" w:eastAsia="zh-CN"/>
        </w:rPr>
        <w:t>具体标准值见表1.5</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2</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cs="Times New Roman"/>
          <w:sz w:val="24"/>
          <w:szCs w:val="24"/>
          <w:vertAlign w:val="baseline"/>
          <w:lang w:val="en-US" w:eastAsia="zh-CN"/>
        </w:rPr>
      </w:pPr>
      <w:r>
        <w:rPr>
          <w:rFonts w:hint="eastAsia" w:ascii="Times New Roman" w:hAnsi="Times New Roman" w:cs="Times New Roman"/>
          <w:sz w:val="24"/>
          <w:szCs w:val="24"/>
          <w:lang w:val="en-US" w:eastAsia="zh-CN"/>
        </w:rPr>
        <w:t>表1.5.1-2 环境空气质量标准</w:t>
      </w:r>
    </w:p>
    <w:tbl>
      <w:tblPr>
        <w:tblStyle w:val="10"/>
        <w:tblW w:w="85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1093"/>
        <w:gridCol w:w="2330"/>
        <w:gridCol w:w="2284"/>
        <w:gridCol w:w="1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5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项目</w:t>
            </w:r>
          </w:p>
        </w:tc>
        <w:tc>
          <w:tcPr>
            <w:tcW w:w="23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评价等级</w:t>
            </w:r>
          </w:p>
        </w:tc>
        <w:tc>
          <w:tcPr>
            <w:tcW w:w="23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标准要求</w:t>
            </w:r>
          </w:p>
        </w:tc>
        <w:tc>
          <w:tcPr>
            <w:tcW w:w="170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53"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日均值（</w:t>
            </w:r>
            <w:r>
              <w:rPr>
                <w:rFonts w:hint="default" w:ascii="Times New Roman" w:hAnsi="Times New Roman" w:cs="Times New Roman"/>
                <w:sz w:val="21"/>
                <w:szCs w:val="21"/>
                <w:vertAlign w:val="baseline"/>
                <w:lang w:val="en-US" w:eastAsia="zh-CN"/>
              </w:rPr>
              <w:t>μ</w:t>
            </w:r>
            <w:r>
              <w:rPr>
                <w:rFonts w:hint="eastAsia" w:ascii="Times New Roman" w:hAnsi="Times New Roman" w:cs="Times New Roman"/>
                <w:sz w:val="21"/>
                <w:szCs w:val="21"/>
                <w:vertAlign w:val="baseline"/>
                <w:lang w:val="en-US" w:eastAsia="zh-CN"/>
              </w:rPr>
              <w:t>g/m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w:t>
            </w:r>
          </w:p>
        </w:tc>
        <w:tc>
          <w:tcPr>
            <w:tcW w:w="110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position w:val="2"/>
                <w:sz w:val="21"/>
                <w:szCs w:val="21"/>
              </w:rPr>
              <w:t>NO</w:t>
            </w:r>
            <w:r>
              <w:rPr>
                <w:rFonts w:hint="default" w:ascii="Times New Roman" w:hAnsi="Times New Roman" w:eastAsia="宋体" w:cs="Times New Roman"/>
                <w:sz w:val="21"/>
                <w:szCs w:val="21"/>
                <w:vertAlign w:val="subscript"/>
              </w:rPr>
              <w:t>2</w:t>
            </w:r>
          </w:p>
        </w:tc>
        <w:tc>
          <w:tcPr>
            <w:tcW w:w="23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二级标准</w:t>
            </w:r>
          </w:p>
        </w:tc>
        <w:tc>
          <w:tcPr>
            <w:tcW w:w="23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80</w:t>
            </w:r>
          </w:p>
        </w:tc>
        <w:tc>
          <w:tcPr>
            <w:tcW w:w="170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05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p>
        </w:tc>
        <w:tc>
          <w:tcPr>
            <w:tcW w:w="110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position w:val="2"/>
                <w:sz w:val="21"/>
                <w:szCs w:val="21"/>
              </w:rPr>
              <w:t>TSP</w:t>
            </w:r>
          </w:p>
        </w:tc>
        <w:tc>
          <w:tcPr>
            <w:tcW w:w="23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二级标准</w:t>
            </w:r>
          </w:p>
        </w:tc>
        <w:tc>
          <w:tcPr>
            <w:tcW w:w="23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300</w:t>
            </w:r>
          </w:p>
        </w:tc>
        <w:tc>
          <w:tcPr>
            <w:tcW w:w="170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1"/>
                <w:szCs w:val="21"/>
                <w:vertAlign w:val="baseli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（3）地表水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本项目跨越麦架河，麦架河水质执行《地表水环境质量标准》（GB3838-2002）</w:t>
      </w:r>
      <w:r>
        <w:rPr>
          <w:rFonts w:hint="eastAsia" w:ascii="宋体" w:hAnsi="宋体" w:eastAsia="宋体" w:cs="宋体"/>
          <w:sz w:val="24"/>
          <w:szCs w:val="24"/>
          <w:lang w:val="en-US" w:eastAsia="zh-CN"/>
        </w:rPr>
        <w:t>Ⅲ</w:t>
      </w:r>
      <w:r>
        <w:rPr>
          <w:rFonts w:hint="eastAsia" w:ascii="Times New Roman" w:hAnsi="Times New Roman" w:cs="Times New Roman"/>
          <w:sz w:val="24"/>
          <w:szCs w:val="24"/>
          <w:lang w:val="en-US" w:eastAsia="zh-CN"/>
        </w:rPr>
        <w:t>类水标准。</w:t>
      </w:r>
      <w:r>
        <w:rPr>
          <w:rFonts w:hint="default" w:ascii="Times New Roman" w:hAnsi="Times New Roman" w:cs="Times New Roman"/>
          <w:sz w:val="24"/>
          <w:szCs w:val="24"/>
          <w:lang w:val="en-US" w:eastAsia="zh-CN"/>
        </w:rPr>
        <w:t>具体标准值见表1.5</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表1.5.1-3地表水环境质量标准</w:t>
      </w:r>
    </w:p>
    <w:tbl>
      <w:tblPr>
        <w:tblStyle w:val="9"/>
        <w:tblW w:w="81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7"/>
        <w:gridCol w:w="1764"/>
        <w:gridCol w:w="1184"/>
        <w:gridCol w:w="1184"/>
        <w:gridCol w:w="953"/>
        <w:gridCol w:w="15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1487" w:type="dxa"/>
            <w:vAlign w:val="center"/>
          </w:tcPr>
          <w:p>
            <w:pPr>
              <w:pStyle w:val="15"/>
              <w:spacing w:before="34"/>
              <w:ind w:left="237" w:right="223"/>
              <w:jc w:val="center"/>
              <w:rPr>
                <w:rFonts w:hint="eastAsia" w:ascii="宋体" w:eastAsia="宋体"/>
                <w:b/>
                <w:sz w:val="21"/>
              </w:rPr>
            </w:pPr>
            <w:r>
              <w:rPr>
                <w:rFonts w:hint="eastAsia" w:ascii="宋体" w:eastAsia="宋体"/>
                <w:b/>
                <w:sz w:val="21"/>
              </w:rPr>
              <w:t>污染物</w:t>
            </w:r>
          </w:p>
        </w:tc>
        <w:tc>
          <w:tcPr>
            <w:tcW w:w="1764" w:type="dxa"/>
            <w:vAlign w:val="center"/>
          </w:tcPr>
          <w:p>
            <w:pPr>
              <w:pStyle w:val="15"/>
              <w:spacing w:before="34"/>
              <w:ind w:left="153" w:right="141"/>
              <w:jc w:val="center"/>
              <w:rPr>
                <w:rFonts w:hint="default" w:ascii="宋体" w:eastAsia="宋体"/>
                <w:b/>
                <w:sz w:val="21"/>
                <w:lang w:val="en-US" w:eastAsia="zh-CN"/>
              </w:rPr>
            </w:pPr>
            <w:r>
              <w:rPr>
                <w:rFonts w:hint="eastAsia" w:ascii="宋体" w:eastAsia="宋体"/>
                <w:b/>
                <w:sz w:val="21"/>
                <w:lang w:val="en-US" w:eastAsia="zh-CN"/>
              </w:rPr>
              <w:t>COD</w:t>
            </w:r>
          </w:p>
        </w:tc>
        <w:tc>
          <w:tcPr>
            <w:tcW w:w="1184" w:type="dxa"/>
            <w:vAlign w:val="center"/>
          </w:tcPr>
          <w:p>
            <w:pPr>
              <w:pStyle w:val="15"/>
              <w:spacing w:before="34"/>
              <w:ind w:left="13"/>
              <w:jc w:val="center"/>
              <w:rPr>
                <w:rFonts w:hint="eastAsia" w:ascii="宋体" w:eastAsia="宋体"/>
                <w:b/>
                <w:sz w:val="21"/>
              </w:rPr>
            </w:pPr>
            <w:r>
              <w:rPr>
                <w:rFonts w:hint="eastAsia" w:ascii="宋体" w:eastAsia="宋体"/>
                <w:b/>
                <w:sz w:val="21"/>
              </w:rPr>
              <w:t>石油类</w:t>
            </w:r>
          </w:p>
        </w:tc>
        <w:tc>
          <w:tcPr>
            <w:tcW w:w="1184" w:type="dxa"/>
            <w:vAlign w:val="center"/>
          </w:tcPr>
          <w:p>
            <w:pPr>
              <w:pStyle w:val="15"/>
              <w:spacing w:before="34"/>
              <w:ind w:left="13"/>
              <w:jc w:val="center"/>
              <w:rPr>
                <w:rFonts w:hint="eastAsia" w:ascii="宋体" w:eastAsia="宋体"/>
                <w:b/>
                <w:sz w:val="21"/>
              </w:rPr>
            </w:pPr>
            <w:r>
              <w:rPr>
                <w:rFonts w:hint="eastAsia" w:ascii="宋体" w:eastAsia="宋体"/>
                <w:b/>
                <w:sz w:val="21"/>
              </w:rPr>
              <w:t>氨氮</w:t>
            </w:r>
          </w:p>
        </w:tc>
        <w:tc>
          <w:tcPr>
            <w:tcW w:w="953" w:type="dxa"/>
            <w:vAlign w:val="center"/>
          </w:tcPr>
          <w:p>
            <w:pPr>
              <w:pStyle w:val="15"/>
              <w:spacing w:before="48"/>
              <w:ind w:left="202" w:right="195"/>
              <w:jc w:val="center"/>
              <w:rPr>
                <w:b/>
                <w:sz w:val="21"/>
              </w:rPr>
            </w:pPr>
            <w:r>
              <w:rPr>
                <w:b/>
                <w:sz w:val="21"/>
              </w:rPr>
              <w:t>SS</w:t>
            </w:r>
          </w:p>
        </w:tc>
        <w:tc>
          <w:tcPr>
            <w:tcW w:w="1565" w:type="dxa"/>
            <w:vAlign w:val="center"/>
          </w:tcPr>
          <w:p>
            <w:pPr>
              <w:pStyle w:val="15"/>
              <w:spacing w:before="34"/>
              <w:ind w:left="162" w:right="151"/>
              <w:jc w:val="center"/>
              <w:rPr>
                <w:b/>
                <w:sz w:val="21"/>
              </w:rPr>
            </w:pPr>
            <w:r>
              <w:rPr>
                <w:b/>
                <w:sz w:val="21"/>
              </w:rPr>
              <w:t>PH(</w:t>
            </w:r>
            <w:r>
              <w:rPr>
                <w:rFonts w:hint="eastAsia" w:ascii="宋体" w:eastAsia="宋体"/>
                <w:b/>
                <w:sz w:val="21"/>
              </w:rPr>
              <w:t>无量纲</w:t>
            </w:r>
            <w:r>
              <w:rPr>
                <w:b/>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8" w:hRule="atLeast"/>
          <w:jc w:val="center"/>
        </w:trPr>
        <w:tc>
          <w:tcPr>
            <w:tcW w:w="1487" w:type="dxa"/>
            <w:vAlign w:val="center"/>
          </w:tcPr>
          <w:p>
            <w:pPr>
              <w:pStyle w:val="15"/>
              <w:spacing w:before="33"/>
              <w:ind w:left="237" w:right="230"/>
              <w:jc w:val="center"/>
              <w:rPr>
                <w:rFonts w:hint="eastAsia" w:ascii="宋体" w:hAnsi="宋体" w:eastAsia="宋体"/>
                <w:sz w:val="21"/>
              </w:rPr>
            </w:pPr>
            <w:r>
              <w:rPr>
                <w:rFonts w:hint="eastAsia" w:ascii="宋体" w:hAnsi="宋体" w:eastAsia="宋体"/>
                <w:sz w:val="21"/>
              </w:rPr>
              <w:t>Ⅲ类标准</w:t>
            </w:r>
          </w:p>
        </w:tc>
        <w:tc>
          <w:tcPr>
            <w:tcW w:w="1764" w:type="dxa"/>
            <w:vAlign w:val="center"/>
          </w:tcPr>
          <w:p>
            <w:pPr>
              <w:pStyle w:val="15"/>
              <w:spacing w:before="49"/>
              <w:ind w:left="8"/>
              <w:jc w:val="center"/>
              <w:rPr>
                <w:sz w:val="21"/>
              </w:rPr>
            </w:pPr>
            <w:r>
              <w:rPr>
                <w:w w:val="99"/>
                <w:sz w:val="21"/>
              </w:rPr>
              <w:t>6</w:t>
            </w:r>
          </w:p>
        </w:tc>
        <w:tc>
          <w:tcPr>
            <w:tcW w:w="1184" w:type="dxa"/>
            <w:vAlign w:val="center"/>
          </w:tcPr>
          <w:p>
            <w:pPr>
              <w:pStyle w:val="15"/>
              <w:spacing w:before="49"/>
              <w:ind w:left="8"/>
              <w:jc w:val="center"/>
              <w:rPr>
                <w:sz w:val="21"/>
              </w:rPr>
            </w:pPr>
            <w:r>
              <w:rPr>
                <w:sz w:val="21"/>
              </w:rPr>
              <w:t>0.05</w:t>
            </w:r>
          </w:p>
        </w:tc>
        <w:tc>
          <w:tcPr>
            <w:tcW w:w="1184" w:type="dxa"/>
            <w:vAlign w:val="center"/>
          </w:tcPr>
          <w:p>
            <w:pPr>
              <w:pStyle w:val="15"/>
              <w:spacing w:before="49"/>
              <w:ind w:left="7"/>
              <w:jc w:val="center"/>
              <w:rPr>
                <w:sz w:val="21"/>
              </w:rPr>
            </w:pPr>
            <w:r>
              <w:rPr>
                <w:w w:val="99"/>
                <w:sz w:val="21"/>
              </w:rPr>
              <w:t>1</w:t>
            </w:r>
          </w:p>
        </w:tc>
        <w:tc>
          <w:tcPr>
            <w:tcW w:w="953" w:type="dxa"/>
            <w:vAlign w:val="center"/>
          </w:tcPr>
          <w:p>
            <w:pPr>
              <w:pStyle w:val="15"/>
              <w:spacing w:before="49"/>
              <w:ind w:left="204" w:right="192"/>
              <w:jc w:val="center"/>
              <w:rPr>
                <w:sz w:val="21"/>
              </w:rPr>
            </w:pPr>
            <w:r>
              <w:rPr>
                <w:sz w:val="21"/>
              </w:rPr>
              <w:t>30</w:t>
            </w:r>
          </w:p>
        </w:tc>
        <w:tc>
          <w:tcPr>
            <w:tcW w:w="1565" w:type="dxa"/>
            <w:vAlign w:val="center"/>
          </w:tcPr>
          <w:p>
            <w:pPr>
              <w:pStyle w:val="15"/>
              <w:spacing w:before="49"/>
              <w:ind w:left="158" w:right="151"/>
              <w:jc w:val="center"/>
              <w:rPr>
                <w:sz w:val="21"/>
              </w:rPr>
            </w:pPr>
            <w:r>
              <w:rPr>
                <w:sz w:val="21"/>
              </w:rPr>
              <w:t>6-9</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（4）地下水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本项目涉及地下水为印台山水井，经现场调查走访，此处水井已被掩埋，不予监测及评价。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cs="Times New Roman"/>
          <w:sz w:val="24"/>
          <w:szCs w:val="24"/>
          <w:lang w:val="en-US" w:eastAsia="zh-CN"/>
        </w:rPr>
      </w:pPr>
      <w:bookmarkStart w:id="12" w:name="_Toc4916"/>
      <w:r>
        <w:rPr>
          <w:rFonts w:hint="eastAsia" w:ascii="Times New Roman" w:hAnsi="Times New Roman" w:cs="Times New Roman"/>
          <w:sz w:val="24"/>
          <w:szCs w:val="24"/>
          <w:lang w:val="en-US" w:eastAsia="zh-CN"/>
        </w:rPr>
        <w:t>1.5.2污染物排放标准</w:t>
      </w:r>
      <w:bookmarkEnd w:id="1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（1）废水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ascii="宋体" w:hAnsi="宋体" w:eastAsia="宋体" w:cs="宋体"/>
          <w:sz w:val="24"/>
          <w:szCs w:val="24"/>
        </w:rPr>
      </w:pPr>
      <w:r>
        <w:rPr>
          <w:rFonts w:ascii="宋体" w:hAnsi="宋体" w:eastAsia="宋体" w:cs="宋体"/>
          <w:sz w:val="24"/>
          <w:szCs w:val="24"/>
        </w:rPr>
        <w:t>本项目不设停车场和收费站，因此道路营运期间主要是路面径流雨水对沿线水体的影响。影响路面径流污染的因素众多，包括降雨时间、降雨量、车流量、大气污染程度、两场降雨之间的时间间隔、纳污路段长度等。各种因素随机性强、偶然性大。一般在公路建成初期和两场降雨间隔较长时，路面雨水径流对沿线水体有一定的影响。主要表现为路面径流携带悬浮颗粒物</w:t>
      </w:r>
      <w:r>
        <w:rPr>
          <w:rFonts w:hint="eastAsia" w:ascii="宋体" w:hAnsi="宋体" w:eastAsia="宋体" w:cs="宋体"/>
          <w:sz w:val="24"/>
          <w:szCs w:val="24"/>
          <w:lang w:val="en-US" w:eastAsia="zh-CN"/>
        </w:rPr>
        <w:t>及车辆行驶遗留污染物，</w:t>
      </w:r>
      <w:r>
        <w:rPr>
          <w:rFonts w:ascii="宋体" w:hAnsi="宋体" w:eastAsia="宋体" w:cs="宋体"/>
          <w:sz w:val="24"/>
          <w:szCs w:val="24"/>
        </w:rPr>
        <w:t>经道路两侧的排水沟从岸边排入沿河路段水体。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因此，本项目运营期产生的污水对环境影响很小。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（2）废</w:t>
      </w:r>
      <w:r>
        <w:rPr>
          <w:rFonts w:hint="eastAsia" w:ascii="Times New Roman" w:hAnsi="Times New Roman" w:eastAsia="宋体" w:cs="Times New Roman"/>
          <w:sz w:val="24"/>
          <w:szCs w:val="24"/>
          <w:lang w:val="en-US" w:eastAsia="zh-CN"/>
        </w:rPr>
        <w:t>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本项目运营期产生的废气主要为车辆行驶通过本项目路面所产生颗粒物及汽车尾气。道路沿线种植行道树、定期清扫路面，减少污染物的排放，经现场调查，其对环境空气影响很小。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（3）固废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本项目不设置服务区、收费站、养护工区等附属设施运营期，无固体废物产生，对环境影响很小。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13" w:name="_Toc24434"/>
      <w:r>
        <w:rPr>
          <w:rFonts w:hint="eastAsia" w:ascii="Times New Roman" w:hAnsi="Times New Roman" w:eastAsia="宋体" w:cs="Times New Roman"/>
          <w:sz w:val="24"/>
          <w:szCs w:val="24"/>
          <w:lang w:val="en-US" w:eastAsia="zh-CN"/>
        </w:rPr>
        <w:t>1.6保护目标及调查重点</w:t>
      </w:r>
      <w:bookmarkEnd w:id="1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调查的重点是公路建设及试运营期造成的生态环境影响、声环境影响和水环境影响（含运输风险事故防范），环境影响报告书及批复中提出的各项环境保护措施落实情况及其有效性，并根据调查结果提出环境保护补救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default" w:ascii="Times New Roman" w:hAnsi="Times New Roman" w:eastAsia="宋体" w:cs="Times New Roman"/>
          <w:sz w:val="24"/>
          <w:szCs w:val="24"/>
          <w:lang w:val="en-US" w:eastAsia="zh-CN"/>
        </w:rPr>
      </w:pPr>
      <w:bookmarkStart w:id="14" w:name="_Toc20599"/>
      <w:r>
        <w:rPr>
          <w:rFonts w:hint="eastAsia" w:ascii="Times New Roman" w:hAnsi="Times New Roman" w:eastAsia="宋体" w:cs="Times New Roman"/>
          <w:sz w:val="24"/>
          <w:szCs w:val="24"/>
          <w:lang w:val="en-US" w:eastAsia="zh-CN"/>
        </w:rPr>
        <w:t>1.6.1生态环境保护目标</w:t>
      </w:r>
      <w:bookmarkEnd w:id="1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本项目生态环境保护目标为沿线基本农田、高填深挖路段、弃土场等。详见表1.6.1-1.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表1.6.1-1 生态保护目标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6"/>
        <w:gridCol w:w="2317"/>
        <w:gridCol w:w="4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保护对象</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路段桩号</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具体情况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基本农田</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K0+000~K0+500、K2+300~K5+000</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本项目建设永久占用基本农田8.54hm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，沿线农田大部分完成征收，规划为园区建设项目用地。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高填深挖路段</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K3+550~K3+750</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此处高边坡路段已建设完成边坡防护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弃土场</w:t>
            </w:r>
          </w:p>
        </w:tc>
        <w:tc>
          <w:tcPr>
            <w:tcW w:w="23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K5+600</w:t>
            </w:r>
          </w:p>
        </w:tc>
        <w:tc>
          <w:tcPr>
            <w:tcW w:w="45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弃土场已部分平整，周边绿化，无重大环境问题产生。</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eastAsia" w:ascii="Times New Roman" w:hAnsi="Times New Roman" w:eastAsia="宋体" w:cs="Times New Roman"/>
          <w:sz w:val="24"/>
          <w:szCs w:val="24"/>
          <w:lang w:val="en-US" w:eastAsia="zh-CN"/>
        </w:rPr>
      </w:pPr>
      <w:bookmarkStart w:id="15" w:name="_Toc15008"/>
      <w:r>
        <w:rPr>
          <w:rFonts w:hint="eastAsia" w:ascii="Times New Roman" w:hAnsi="Times New Roman" w:eastAsia="宋体" w:cs="Times New Roman"/>
          <w:sz w:val="24"/>
          <w:szCs w:val="24"/>
          <w:lang w:val="en-US" w:eastAsia="zh-CN"/>
        </w:rPr>
        <w:t>1.6.2环境空气及声环境保护目标</w:t>
      </w:r>
      <w:bookmarkEnd w:id="1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本项目涉及的环境空气及声环境保护目标主要为项目沿线的学校、居民区等，麻堡小学、王家园、已搬迁，现已规划为建设项目用地。详见表1.6.2-1。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eastAsia" w:ascii="Times New Roman" w:hAnsi="Times New Roman" w:eastAsia="宋体" w:cs="Times New Roman"/>
          <w:sz w:val="24"/>
          <w:szCs w:val="24"/>
          <w:lang w:val="en-US" w:eastAsia="zh-CN"/>
        </w:rPr>
      </w:pPr>
      <w:bookmarkStart w:id="16" w:name="_Toc18727"/>
      <w:r>
        <w:rPr>
          <w:rFonts w:hint="eastAsia" w:ascii="Times New Roman" w:hAnsi="Times New Roman" w:eastAsia="宋体" w:cs="Times New Roman"/>
          <w:sz w:val="24"/>
          <w:szCs w:val="24"/>
          <w:lang w:val="en-US" w:eastAsia="zh-CN"/>
        </w:rPr>
        <w:t>1.6.3水环境保护目标</w:t>
      </w:r>
      <w:bookmarkEnd w:id="1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本项目建设区域主要水体为麦架河，项目建设及桥梁的施工均会对麦架河造成一定的影响；在K1+760处的印台山水井，经现场踏勘，已废弃填埋，当地居民使用市政供水。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表1.6.3-1 本项目跨河桥梁一览表</w:t>
      </w:r>
    </w:p>
    <w:tbl>
      <w:tblPr>
        <w:tblStyle w:val="9"/>
        <w:tblW w:w="863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8"/>
        <w:gridCol w:w="1172"/>
        <w:gridCol w:w="1885"/>
        <w:gridCol w:w="902"/>
        <w:gridCol w:w="1056"/>
        <w:gridCol w:w="1687"/>
        <w:gridCol w:w="11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9" w:hRule="atLeast"/>
          <w:jc w:val="center"/>
        </w:trPr>
        <w:tc>
          <w:tcPr>
            <w:tcW w:w="75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序号</w:t>
            </w:r>
          </w:p>
        </w:tc>
        <w:tc>
          <w:tcPr>
            <w:tcW w:w="117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河流名称</w:t>
            </w:r>
          </w:p>
        </w:tc>
        <w:tc>
          <w:tcPr>
            <w:tcW w:w="188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大桥名称</w:t>
            </w:r>
          </w:p>
        </w:tc>
        <w:tc>
          <w:tcPr>
            <w:tcW w:w="90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桥面长度（</w:t>
            </w:r>
            <w:r>
              <w:rPr>
                <w:b/>
                <w:sz w:val="21"/>
              </w:rPr>
              <w:t>m</w:t>
            </w:r>
            <w:r>
              <w:rPr>
                <w:rFonts w:hint="eastAsia" w:ascii="宋体" w:eastAsia="宋体"/>
                <w:b/>
                <w:sz w:val="21"/>
              </w:rPr>
              <w:t>）</w:t>
            </w:r>
          </w:p>
        </w:tc>
        <w:tc>
          <w:tcPr>
            <w:tcW w:w="105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桩号</w:t>
            </w:r>
          </w:p>
        </w:tc>
        <w:tc>
          <w:tcPr>
            <w:tcW w:w="168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桥梁跨越处河段执行标准</w:t>
            </w:r>
          </w:p>
        </w:tc>
        <w:tc>
          <w:tcPr>
            <w:tcW w:w="1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lang w:eastAsia="zh-CN"/>
              </w:rPr>
            </w:pPr>
            <w:r>
              <w:rPr>
                <w:rFonts w:hint="eastAsia" w:ascii="宋体" w:eastAsia="宋体"/>
                <w:b/>
                <w:sz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75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1</w:t>
            </w:r>
          </w:p>
        </w:tc>
        <w:tc>
          <w:tcPr>
            <w:tcW w:w="117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lang w:eastAsia="zh-CN"/>
              </w:rPr>
            </w:pPr>
            <w:r>
              <w:rPr>
                <w:rFonts w:hint="eastAsia" w:ascii="宋体" w:eastAsia="宋体"/>
                <w:sz w:val="21"/>
                <w:lang w:eastAsia="zh-CN"/>
              </w:rPr>
              <w:t>麦架河支流</w:t>
            </w:r>
          </w:p>
        </w:tc>
        <w:tc>
          <w:tcPr>
            <w:tcW w:w="188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lang w:eastAsia="zh-CN"/>
              </w:rPr>
            </w:pPr>
            <w:r>
              <w:rPr>
                <w:rFonts w:hint="eastAsia" w:ascii="宋体" w:eastAsia="宋体"/>
                <w:sz w:val="21"/>
                <w:lang w:eastAsia="zh-CN"/>
              </w:rPr>
              <w:t>高山桥</w:t>
            </w:r>
          </w:p>
        </w:tc>
        <w:tc>
          <w:tcPr>
            <w:tcW w:w="90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21.21</w:t>
            </w:r>
          </w:p>
        </w:tc>
        <w:tc>
          <w:tcPr>
            <w:tcW w:w="105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sz w:val="21"/>
              </w:rPr>
              <w:t>K</w:t>
            </w:r>
            <w:r>
              <w:rPr>
                <w:rFonts w:hint="eastAsia" w:eastAsia="宋体"/>
                <w:sz w:val="21"/>
                <w:lang w:val="en-US" w:eastAsia="zh-CN"/>
              </w:rPr>
              <w:t>0</w:t>
            </w:r>
            <w:r>
              <w:rPr>
                <w:sz w:val="21"/>
              </w:rPr>
              <w:t>+</w:t>
            </w:r>
            <w:r>
              <w:rPr>
                <w:rFonts w:hint="eastAsia" w:eastAsia="宋体"/>
                <w:sz w:val="21"/>
                <w:lang w:val="en-US" w:eastAsia="zh-CN"/>
              </w:rPr>
              <w:t>325</w:t>
            </w:r>
          </w:p>
        </w:tc>
        <w:tc>
          <w:tcPr>
            <w:tcW w:w="1687"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r>
              <w:rPr>
                <w:rFonts w:hint="eastAsia" w:ascii="宋体" w:eastAsia="宋体"/>
                <w:sz w:val="21"/>
              </w:rPr>
              <w:t>《地表水环境质量标准》</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r>
              <w:rPr>
                <w:rFonts w:hint="eastAsia" w:ascii="宋体" w:eastAsia="宋体"/>
                <w:sz w:val="21"/>
              </w:rPr>
              <w:t>（</w:t>
            </w:r>
            <w:r>
              <w:rPr>
                <w:sz w:val="21"/>
              </w:rPr>
              <w:t>GB3838-2002</w:t>
            </w:r>
            <w:r>
              <w:rPr>
                <w:rFonts w:hint="eastAsia" w:ascii="宋体" w:eastAsia="宋体"/>
                <w:sz w:val="21"/>
              </w:rPr>
              <w:t>）</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sz w:val="21"/>
              </w:rPr>
            </w:pPr>
            <w:r>
              <w:rPr>
                <w:rFonts w:hint="eastAsia" w:ascii="宋体" w:hAnsi="宋体" w:eastAsia="宋体"/>
                <w:sz w:val="21"/>
              </w:rPr>
              <w:t>Ⅲ类标准</w:t>
            </w:r>
          </w:p>
        </w:tc>
        <w:tc>
          <w:tcPr>
            <w:tcW w:w="1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75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2</w:t>
            </w:r>
          </w:p>
        </w:tc>
        <w:tc>
          <w:tcPr>
            <w:tcW w:w="117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lang w:eastAsia="zh-CN"/>
              </w:rPr>
            </w:pPr>
            <w:r>
              <w:rPr>
                <w:rFonts w:hint="eastAsia" w:ascii="宋体" w:eastAsia="宋体"/>
                <w:sz w:val="21"/>
                <w:lang w:eastAsia="zh-CN"/>
              </w:rPr>
              <w:t>麦架河</w:t>
            </w:r>
          </w:p>
        </w:tc>
        <w:tc>
          <w:tcPr>
            <w:tcW w:w="188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z w:val="21"/>
                <w:lang w:eastAsia="zh-CN"/>
              </w:rPr>
            </w:pPr>
            <w:r>
              <w:rPr>
                <w:rFonts w:hint="eastAsia" w:ascii="宋体" w:eastAsia="宋体"/>
                <w:sz w:val="21"/>
                <w:lang w:eastAsia="zh-CN"/>
              </w:rPr>
              <w:t>麦架河桥</w:t>
            </w:r>
            <w:r>
              <w:rPr>
                <w:rFonts w:hint="eastAsia" w:ascii="宋体" w:hAnsi="宋体" w:eastAsia="宋体" w:cs="宋体"/>
                <w:sz w:val="21"/>
                <w:lang w:eastAsia="zh-CN"/>
              </w:rPr>
              <w:t>Ⅰ</w:t>
            </w:r>
          </w:p>
        </w:tc>
        <w:tc>
          <w:tcPr>
            <w:tcW w:w="90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rFonts w:hint="eastAsia" w:eastAsia="宋体"/>
                <w:sz w:val="21"/>
                <w:lang w:val="en-US" w:eastAsia="zh-CN"/>
              </w:rPr>
              <w:t>36.10</w:t>
            </w:r>
          </w:p>
        </w:tc>
        <w:tc>
          <w:tcPr>
            <w:tcW w:w="105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sz w:val="21"/>
              </w:rPr>
              <w:t>K</w:t>
            </w:r>
            <w:r>
              <w:rPr>
                <w:rFonts w:hint="eastAsia" w:eastAsia="宋体"/>
                <w:sz w:val="21"/>
                <w:lang w:val="en-US" w:eastAsia="zh-CN"/>
              </w:rPr>
              <w:t>2</w:t>
            </w:r>
            <w:r>
              <w:rPr>
                <w:sz w:val="21"/>
              </w:rPr>
              <w:t>+</w:t>
            </w:r>
            <w:r>
              <w:rPr>
                <w:rFonts w:hint="eastAsia" w:eastAsia="宋体"/>
                <w:sz w:val="21"/>
                <w:lang w:val="en-US" w:eastAsia="zh-CN"/>
              </w:rPr>
              <w:t>010</w:t>
            </w:r>
          </w:p>
        </w:tc>
        <w:tc>
          <w:tcPr>
            <w:tcW w:w="1687"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
                <w:szCs w:val="2"/>
              </w:rPr>
            </w:pPr>
          </w:p>
        </w:tc>
        <w:tc>
          <w:tcPr>
            <w:tcW w:w="1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75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3</w:t>
            </w:r>
          </w:p>
        </w:tc>
        <w:tc>
          <w:tcPr>
            <w:tcW w:w="117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r>
              <w:rPr>
                <w:rFonts w:hint="eastAsia" w:ascii="宋体" w:eastAsia="宋体"/>
                <w:sz w:val="21"/>
                <w:lang w:eastAsia="zh-CN"/>
              </w:rPr>
              <w:t>麦架河支流</w:t>
            </w:r>
          </w:p>
        </w:tc>
        <w:tc>
          <w:tcPr>
            <w:tcW w:w="188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lang w:eastAsia="zh-CN"/>
              </w:rPr>
            </w:pPr>
            <w:r>
              <w:rPr>
                <w:rFonts w:hint="eastAsia" w:ascii="宋体" w:eastAsia="宋体"/>
                <w:sz w:val="21"/>
                <w:lang w:eastAsia="zh-CN"/>
              </w:rPr>
              <w:t>麦架河支流桥</w:t>
            </w:r>
          </w:p>
        </w:tc>
        <w:tc>
          <w:tcPr>
            <w:tcW w:w="90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rFonts w:hint="eastAsia" w:eastAsia="宋体"/>
                <w:sz w:val="21"/>
                <w:lang w:val="en-US" w:eastAsia="zh-CN"/>
              </w:rPr>
              <w:t>10.00</w:t>
            </w:r>
          </w:p>
        </w:tc>
        <w:tc>
          <w:tcPr>
            <w:tcW w:w="105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sz w:val="21"/>
              </w:rPr>
              <w:t>K</w:t>
            </w:r>
            <w:r>
              <w:rPr>
                <w:rFonts w:hint="eastAsia" w:eastAsia="宋体"/>
                <w:sz w:val="21"/>
                <w:lang w:val="en-US" w:eastAsia="zh-CN"/>
              </w:rPr>
              <w:t>2</w:t>
            </w:r>
            <w:r>
              <w:rPr>
                <w:sz w:val="21"/>
              </w:rPr>
              <w:t>+</w:t>
            </w:r>
            <w:r>
              <w:rPr>
                <w:rFonts w:hint="eastAsia" w:eastAsia="宋体"/>
                <w:sz w:val="21"/>
                <w:lang w:val="en-US" w:eastAsia="zh-CN"/>
              </w:rPr>
              <w:t>633</w:t>
            </w:r>
          </w:p>
        </w:tc>
        <w:tc>
          <w:tcPr>
            <w:tcW w:w="1687"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
                <w:szCs w:val="2"/>
              </w:rPr>
            </w:pPr>
          </w:p>
        </w:tc>
        <w:tc>
          <w:tcPr>
            <w:tcW w:w="1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2" w:hRule="atLeast"/>
          <w:jc w:val="center"/>
        </w:trPr>
        <w:tc>
          <w:tcPr>
            <w:tcW w:w="758"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4</w:t>
            </w:r>
          </w:p>
        </w:tc>
        <w:tc>
          <w:tcPr>
            <w:tcW w:w="117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kern w:val="2"/>
                <w:sz w:val="21"/>
                <w:szCs w:val="24"/>
                <w:lang w:val="zh-CN" w:eastAsia="zh-CN" w:bidi="zh-CN"/>
              </w:rPr>
            </w:pPr>
            <w:r>
              <w:rPr>
                <w:rFonts w:hint="eastAsia" w:ascii="宋体" w:eastAsia="宋体"/>
                <w:sz w:val="21"/>
                <w:lang w:eastAsia="zh-CN"/>
              </w:rPr>
              <w:t>麦架河</w:t>
            </w:r>
          </w:p>
        </w:tc>
        <w:tc>
          <w:tcPr>
            <w:tcW w:w="188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4"/>
                <w:lang w:val="zh-CN" w:eastAsia="zh-CN" w:bidi="zh-CN"/>
              </w:rPr>
            </w:pPr>
            <w:r>
              <w:rPr>
                <w:rFonts w:hint="eastAsia" w:ascii="宋体" w:eastAsia="宋体"/>
                <w:sz w:val="21"/>
                <w:lang w:eastAsia="zh-CN"/>
              </w:rPr>
              <w:t>麦架河桥</w:t>
            </w:r>
            <w:r>
              <w:rPr>
                <w:rFonts w:hint="eastAsia" w:ascii="宋体" w:hAnsi="宋体" w:eastAsia="宋体" w:cs="宋体"/>
                <w:sz w:val="21"/>
                <w:lang w:eastAsia="zh-CN"/>
              </w:rPr>
              <w:t>Ⅱ</w:t>
            </w:r>
          </w:p>
        </w:tc>
        <w:tc>
          <w:tcPr>
            <w:tcW w:w="90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36.68</w:t>
            </w:r>
          </w:p>
        </w:tc>
        <w:tc>
          <w:tcPr>
            <w:tcW w:w="105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sz w:val="21"/>
              </w:rPr>
              <w:t>K</w:t>
            </w:r>
            <w:r>
              <w:rPr>
                <w:rFonts w:hint="eastAsia" w:eastAsia="宋体"/>
                <w:sz w:val="21"/>
                <w:lang w:val="en-US" w:eastAsia="zh-CN"/>
              </w:rPr>
              <w:t>4</w:t>
            </w:r>
            <w:r>
              <w:rPr>
                <w:sz w:val="21"/>
              </w:rPr>
              <w:t>+</w:t>
            </w:r>
            <w:r>
              <w:rPr>
                <w:rFonts w:hint="eastAsia" w:eastAsia="宋体"/>
                <w:sz w:val="21"/>
                <w:lang w:val="en-US" w:eastAsia="zh-CN"/>
              </w:rPr>
              <w:t>490</w:t>
            </w:r>
          </w:p>
        </w:tc>
        <w:tc>
          <w:tcPr>
            <w:tcW w:w="1687"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
                <w:szCs w:val="2"/>
              </w:rPr>
            </w:pPr>
          </w:p>
        </w:tc>
        <w:tc>
          <w:tcPr>
            <w:tcW w:w="117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Times New Roman" w:hAnsi="Times New Roman" w:eastAsia="宋体" w:cs="Times New Roman"/>
          <w:sz w:val="24"/>
          <w:szCs w:val="24"/>
          <w:lang w:val="en-US" w:eastAsia="zh-CN"/>
        </w:rPr>
        <w:sectPr>
          <w:headerReference r:id="rId3" w:type="default"/>
          <w:footerReference r:id="rId4" w:type="default"/>
          <w:pgSz w:w="11906" w:h="16838"/>
          <w:pgMar w:top="1440" w:right="1800" w:bottom="1440" w:left="1800" w:header="850" w:footer="992" w:gutter="0"/>
          <w:pgNumType w:fmt="decimal" w:start="1"/>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表1.6.2-1环境空气及声环境保护目标</w:t>
      </w:r>
    </w:p>
    <w:tbl>
      <w:tblPr>
        <w:tblStyle w:val="9"/>
        <w:tblW w:w="13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0"/>
        <w:gridCol w:w="1588"/>
        <w:gridCol w:w="1523"/>
        <w:gridCol w:w="927"/>
        <w:gridCol w:w="1162"/>
        <w:gridCol w:w="1133"/>
        <w:gridCol w:w="2865"/>
        <w:gridCol w:w="681"/>
        <w:gridCol w:w="31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blHeader/>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序号</w:t>
            </w:r>
          </w:p>
        </w:tc>
        <w:tc>
          <w:tcPr>
            <w:tcW w:w="1588"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敏感点名称</w:t>
            </w:r>
          </w:p>
        </w:tc>
        <w:tc>
          <w:tcPr>
            <w:tcW w:w="152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桩号</w:t>
            </w:r>
          </w:p>
        </w:tc>
        <w:tc>
          <w:tcPr>
            <w:tcW w:w="927"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距主线</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方位</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1"/>
              </w:rPr>
            </w:pPr>
            <w:r>
              <w:rPr>
                <w:rFonts w:hint="eastAsia" w:ascii="宋体" w:eastAsia="宋体"/>
                <w:b/>
                <w:spacing w:val="-8"/>
                <w:sz w:val="21"/>
              </w:rPr>
              <w:t>距路中心</w:t>
            </w:r>
            <w:r>
              <w:rPr>
                <w:rFonts w:hint="eastAsia" w:ascii="宋体" w:eastAsia="宋体"/>
                <w:b/>
                <w:spacing w:val="-8"/>
                <w:w w:val="95"/>
                <w:sz w:val="21"/>
              </w:rPr>
              <w:t>线</w:t>
            </w:r>
            <w:r>
              <w:rPr>
                <w:rFonts w:hint="eastAsia" w:ascii="宋体" w:eastAsia="宋体"/>
                <w:b/>
                <w:spacing w:val="-8"/>
                <w:w w:val="95"/>
                <w:sz w:val="21"/>
                <w:lang w:eastAsia="zh-CN"/>
              </w:rPr>
              <w:t>最近</w:t>
            </w:r>
            <w:r>
              <w:rPr>
                <w:rFonts w:hint="eastAsia" w:ascii="宋体" w:eastAsia="宋体"/>
                <w:b/>
                <w:spacing w:val="-8"/>
                <w:w w:val="95"/>
                <w:sz w:val="21"/>
              </w:rPr>
              <w:t>距</w:t>
            </w:r>
            <w:r>
              <w:rPr>
                <w:rFonts w:hint="eastAsia" w:ascii="宋体" w:eastAsia="宋体"/>
                <w:b/>
                <w:w w:val="95"/>
                <w:sz w:val="21"/>
              </w:rPr>
              <w:t>离</w:t>
            </w:r>
            <w:r>
              <w:rPr>
                <w:b/>
                <w:w w:val="95"/>
                <w:sz w:val="21"/>
              </w:rPr>
              <w:t>(m)</w:t>
            </w:r>
          </w:p>
        </w:tc>
        <w:tc>
          <w:tcPr>
            <w:tcW w:w="113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1"/>
              </w:rPr>
            </w:pPr>
            <w:r>
              <w:rPr>
                <w:rFonts w:hint="eastAsia" w:ascii="宋体" w:eastAsia="宋体"/>
                <w:b/>
                <w:sz w:val="21"/>
              </w:rPr>
              <w:t>与路面相对高差</w:t>
            </w:r>
            <w:r>
              <w:rPr>
                <w:b/>
                <w:sz w:val="21"/>
              </w:rPr>
              <w:t>(m)</w:t>
            </w:r>
          </w:p>
        </w:tc>
        <w:tc>
          <w:tcPr>
            <w:tcW w:w="2865"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敏感点情况</w:t>
            </w:r>
          </w:p>
        </w:tc>
        <w:tc>
          <w:tcPr>
            <w:tcW w:w="681"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lang w:eastAsia="zh-CN"/>
              </w:rPr>
            </w:pPr>
            <w:r>
              <w:rPr>
                <w:rFonts w:hint="eastAsia" w:ascii="宋体" w:eastAsia="宋体"/>
                <w:b/>
                <w:sz w:val="21"/>
                <w:lang w:eastAsia="zh-CN"/>
              </w:rPr>
              <w:t>备注</w:t>
            </w:r>
          </w:p>
        </w:tc>
        <w:tc>
          <w:tcPr>
            <w:tcW w:w="3123"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lang w:eastAsia="zh-CN"/>
              </w:rPr>
            </w:pPr>
            <w:r>
              <w:rPr>
                <w:rFonts w:hint="eastAsia" w:ascii="宋体" w:eastAsia="宋体"/>
                <w:b/>
                <w:sz w:val="21"/>
                <w:lang w:eastAsia="zh-CN"/>
              </w:rPr>
              <w:t>照片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default" w:ascii="Times New Roman" w:hAnsi="Times New Roman" w:eastAsia="宋体" w:cs="Times New Roman"/>
                <w:b w:val="0"/>
                <w:bCs/>
                <w:sz w:val="21"/>
                <w:lang w:val="en-US" w:eastAsia="zh-CN"/>
              </w:rPr>
              <w:t>1</w:t>
            </w:r>
          </w:p>
        </w:tc>
        <w:tc>
          <w:tcPr>
            <w:tcW w:w="1588"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eastAsia="zh-CN"/>
              </w:rPr>
            </w:pPr>
            <w:r>
              <w:rPr>
                <w:rFonts w:hint="eastAsia" w:eastAsia="宋体" w:cs="Times New Roman"/>
                <w:b w:val="0"/>
                <w:bCs/>
                <w:sz w:val="21"/>
                <w:lang w:eastAsia="zh-CN"/>
              </w:rPr>
              <w:t>贵州商学院</w:t>
            </w:r>
          </w:p>
        </w:tc>
        <w:tc>
          <w:tcPr>
            <w:tcW w:w="152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K0+50~K0+750</w:t>
            </w:r>
          </w:p>
        </w:tc>
        <w:tc>
          <w:tcPr>
            <w:tcW w:w="927"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左</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w w:val="95"/>
                <w:sz w:val="21"/>
                <w:lang w:val="en-US" w:eastAsia="zh-CN"/>
              </w:rPr>
            </w:pPr>
            <w:r>
              <w:rPr>
                <w:rFonts w:hint="eastAsia" w:eastAsia="宋体" w:cs="Times New Roman"/>
                <w:b w:val="0"/>
                <w:bCs/>
                <w:w w:val="95"/>
                <w:sz w:val="21"/>
                <w:lang w:val="en-US" w:eastAsia="zh-CN"/>
              </w:rPr>
              <w:t>45</w:t>
            </w:r>
          </w:p>
        </w:tc>
        <w:tc>
          <w:tcPr>
            <w:tcW w:w="113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val="en-US" w:eastAsia="zh-CN"/>
              </w:rPr>
            </w:pPr>
            <w:r>
              <w:rPr>
                <w:rFonts w:hint="eastAsia" w:eastAsia="宋体" w:cs="Times New Roman"/>
                <w:b w:val="0"/>
                <w:bCs/>
                <w:sz w:val="21"/>
                <w:lang w:val="en-US" w:eastAsia="zh-CN"/>
              </w:rPr>
              <w:t>0</w:t>
            </w:r>
          </w:p>
        </w:tc>
        <w:tc>
          <w:tcPr>
            <w:tcW w:w="2865"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w w:val="99"/>
                <w:sz w:val="21"/>
                <w:lang w:val="en-US" w:eastAsia="zh-CN"/>
              </w:rPr>
            </w:pPr>
            <w:r>
              <w:rPr>
                <w:rFonts w:hint="eastAsia" w:eastAsia="宋体" w:cs="Times New Roman"/>
                <w:b w:val="0"/>
                <w:bCs/>
                <w:w w:val="99"/>
                <w:sz w:val="21"/>
                <w:lang w:eastAsia="zh-CN"/>
              </w:rPr>
              <w:t>学校，教学楼、行政办公楼学生宿舍约</w:t>
            </w:r>
            <w:r>
              <w:rPr>
                <w:rFonts w:hint="eastAsia" w:eastAsia="宋体" w:cs="Times New Roman"/>
                <w:b w:val="0"/>
                <w:bCs/>
                <w:w w:val="99"/>
                <w:sz w:val="21"/>
                <w:lang w:val="en-US" w:eastAsia="zh-CN"/>
              </w:rPr>
              <w:t>19座，教职工及学生12000余人</w:t>
            </w:r>
          </w:p>
        </w:tc>
        <w:tc>
          <w:tcPr>
            <w:tcW w:w="681"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eastAsia="zh-CN"/>
              </w:rPr>
            </w:pPr>
            <w:r>
              <w:rPr>
                <w:rFonts w:hint="eastAsia" w:eastAsia="宋体" w:cs="Times New Roman"/>
                <w:b w:val="0"/>
                <w:bCs/>
                <w:sz w:val="21"/>
                <w:lang w:eastAsia="zh-CN"/>
              </w:rPr>
              <w:t>新增</w:t>
            </w:r>
          </w:p>
        </w:tc>
        <w:tc>
          <w:tcPr>
            <w:tcW w:w="3123" w:type="dxa"/>
            <w:tcBorders>
              <w:lef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44" name="图片 44" descr="照片IMG_20200519_16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照片IMG_20200519_164640"/>
                          <pic:cNvPicPr>
                            <a:picLocks noChangeAspect="1"/>
                          </pic:cNvPicPr>
                        </pic:nvPicPr>
                        <pic:blipFill>
                          <a:blip r:embed="rId15"/>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20" w:type="dxa"/>
            <w:tcBorders>
              <w:bottom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2</w:t>
            </w:r>
          </w:p>
        </w:tc>
        <w:tc>
          <w:tcPr>
            <w:tcW w:w="1588"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亮天寨1</w:t>
            </w:r>
          </w:p>
        </w:tc>
        <w:tc>
          <w:tcPr>
            <w:tcW w:w="1523"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K0+420</w:t>
            </w:r>
          </w:p>
        </w:tc>
        <w:tc>
          <w:tcPr>
            <w:tcW w:w="927"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1162"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1133"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2865" w:type="dxa"/>
            <w:tcBorders>
              <w:left w:val="single" w:color="000000" w:sz="6" w:space="0"/>
              <w:bottom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15户60人，临近道路第一排6户，为2、3层平房</w:t>
            </w:r>
          </w:p>
        </w:tc>
        <w:tc>
          <w:tcPr>
            <w:tcW w:w="681" w:type="dxa"/>
            <w:tcBorders>
              <w:left w:val="single" w:color="000000" w:sz="6" w:space="0"/>
              <w:bottom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3123" w:type="dxa"/>
            <w:tcBorders>
              <w:left w:val="single" w:color="000000" w:sz="6" w:space="0"/>
              <w:bottom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45" name="图片 45" descr="照片IMG_20200519_16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照片IMG_20200519_164936"/>
                          <pic:cNvPicPr>
                            <a:picLocks noChangeAspect="1"/>
                          </pic:cNvPicPr>
                        </pic:nvPicPr>
                        <pic:blipFill>
                          <a:blip r:embed="rId16"/>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3</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亮天寨2</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K0+620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20户100人，临近道路第一排5户，为2层平房</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46" name="图片 46" descr="IMG_20200519_16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00519_165408"/>
                          <pic:cNvPicPr>
                            <a:picLocks noChangeAspect="1"/>
                          </pic:cNvPicPr>
                        </pic:nvPicPr>
                        <pic:blipFill>
                          <a:blip r:embed="rId17"/>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4</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K1+620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50户250人，临近道路第一排10户，多为2层平房</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47" name="图片 47" descr="IMG_20200519_17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00519_170604"/>
                          <pic:cNvPicPr>
                            <a:picLocks noChangeAspect="1"/>
                          </pic:cNvPicPr>
                        </pic:nvPicPr>
                        <pic:blipFill>
                          <a:blip r:embed="rId18"/>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K1+825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40户200人，临近道路第一排5户，多为3层平房</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48" name="图片 48" descr="IMG_20200519_17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00519_170505"/>
                          <pic:cNvPicPr>
                            <a:picLocks noChangeAspect="1"/>
                          </pic:cNvPicPr>
                        </pic:nvPicPr>
                        <pic:blipFill>
                          <a:blip r:embed="rId19"/>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6</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沙子坡</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K2+510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8户40人，临近道路第一排6户，多为2层平房</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49" name="图片 49" descr="IMG_20200519_17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00519_171103"/>
                          <pic:cNvPicPr>
                            <a:picLocks noChangeAspect="1"/>
                          </pic:cNvPicPr>
                        </pic:nvPicPr>
                        <pic:blipFill>
                          <a:blip r:embed="rId20"/>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7</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董柒坝</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K3+150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190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40户200人，临近道路第一排6户，多为2层平房</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50" name="图片 50" descr="IMG_20200519_17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00519_171501"/>
                          <pic:cNvPicPr>
                            <a:picLocks noChangeAspect="1"/>
                          </pic:cNvPicPr>
                        </pic:nvPicPr>
                        <pic:blipFill>
                          <a:blip r:embed="rId21"/>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8</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麻堡组</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K3+505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65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35户190人，临近道路第一排10户，多为2层平房</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51" name="图片 51" descr="IMG_1016(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1016(20200518-204603)"/>
                          <pic:cNvPicPr>
                            <a:picLocks noChangeAspect="1"/>
                          </pic:cNvPicPr>
                        </pic:nvPicPr>
                        <pic:blipFill>
                          <a:blip r:embed="rId22"/>
                          <a:stretch>
                            <a:fillRect/>
                          </a:stretch>
                        </pic:blipFill>
                        <pic:spPr>
                          <a:xfrm>
                            <a:off x="0" y="0"/>
                            <a:ext cx="1344295" cy="100838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9</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K4+50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52" name="图片 52" descr="IMG_20200519_17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00519_172430"/>
                          <pic:cNvPicPr>
                            <a:picLocks noChangeAspect="1"/>
                          </pic:cNvPicPr>
                        </pic:nvPicPr>
                        <pic:blipFill>
                          <a:blip r:embed="rId23"/>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潘家湾</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K4+930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居民点，已大部分搬迁仅余约三、四户还未搬离</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53" name="图片 53" descr="IMG_20200519_17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200519_173212"/>
                          <pic:cNvPicPr>
                            <a:picLocks noChangeAspect="1"/>
                          </pic:cNvPicPr>
                        </pic:nvPicPr>
                        <pic:blipFill>
                          <a:blip r:embed="rId24"/>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11</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沙文镇</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K6+470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200户550人，多为三层平房</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54" name="图片 54" descr="IMG_20200519_17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200519_174407"/>
                          <pic:cNvPicPr>
                            <a:picLocks noChangeAspect="1"/>
                          </pic:cNvPicPr>
                        </pic:nvPicPr>
                        <pic:blipFill>
                          <a:blip r:embed="rId25"/>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12</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沙文中学（白云区第六初级中学）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K7+096</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终点</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93</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-7</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学校，教学楼及行政办公楼等</w:t>
            </w:r>
            <w:r>
              <w:rPr>
                <w:rFonts w:hint="eastAsia" w:eastAsia="宋体" w:cs="Times New Roman"/>
                <w:b w:val="0"/>
                <w:bCs/>
                <w:w w:val="99"/>
                <w:sz w:val="21"/>
                <w:lang w:val="en-US" w:eastAsia="zh-CN"/>
              </w:rPr>
              <w:t>4栋，教职工及学生1200余人</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原有</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55" name="图片 55" descr="IMG_20200519_1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00519_174512"/>
                          <pic:cNvPicPr>
                            <a:picLocks noChangeAspect="1"/>
                          </pic:cNvPicPr>
                        </pic:nvPicPr>
                        <pic:blipFill>
                          <a:blip r:embed="rId26"/>
                          <a:stretch>
                            <a:fillRect/>
                          </a:stretch>
                        </pic:blipFill>
                        <pic:spPr>
                          <a:xfrm>
                            <a:off x="0" y="0"/>
                            <a:ext cx="1331595" cy="998220"/>
                          </a:xfrm>
                          <a:prstGeom prst="rect">
                            <a:avLst/>
                          </a:prstGeom>
                        </pic:spPr>
                      </pic:pic>
                    </a:graphicData>
                  </a:graphic>
                </wp:inline>
              </w:drawing>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Times New Roman" w:hAnsi="Times New Roman" w:eastAsia="宋体" w:cs="Times New Roman"/>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17" w:name="_Toc26743"/>
      <w:r>
        <w:rPr>
          <w:rFonts w:hint="eastAsia" w:ascii="Times New Roman" w:hAnsi="Times New Roman" w:eastAsia="宋体" w:cs="Times New Roman"/>
          <w:b/>
          <w:bCs/>
          <w:sz w:val="24"/>
          <w:szCs w:val="24"/>
          <w:lang w:val="en-US" w:eastAsia="zh-CN"/>
        </w:rPr>
        <w:t>2 工程概况</w:t>
      </w:r>
      <w:bookmarkEnd w:id="1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18" w:name="_Toc21513"/>
      <w:r>
        <w:rPr>
          <w:rFonts w:hint="eastAsia" w:ascii="Times New Roman" w:hAnsi="Times New Roman" w:eastAsia="宋体" w:cs="Times New Roman"/>
          <w:sz w:val="24"/>
          <w:szCs w:val="24"/>
          <w:lang w:val="en-US" w:eastAsia="zh-CN"/>
        </w:rPr>
        <w:t>2.1地理位置及路线走向</w:t>
      </w:r>
      <w:bookmarkEnd w:id="1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麦沙大道是麦架沙文高新产业发展用地“一横一纵”道路主骨架重要的横向组成部分</w:t>
      </w:r>
      <w:r>
        <w:rPr>
          <w:rFonts w:hint="eastAsia" w:ascii="Times New Roman" w:hAnsi="Times New Roman" w:eastAsia="宋体" w:cs="Times New Roman"/>
          <w:sz w:val="24"/>
          <w:szCs w:val="24"/>
          <w:lang w:eastAsia="zh-CN"/>
        </w:rPr>
        <w:t>，连接麦架镇与沙文镇</w:t>
      </w:r>
      <w:r>
        <w:rPr>
          <w:rFonts w:hint="default" w:ascii="Times New Roman" w:hAnsi="Times New Roman" w:eastAsia="宋体" w:cs="Times New Roman"/>
          <w:sz w:val="24"/>
          <w:szCs w:val="24"/>
        </w:rPr>
        <w:t>，是规划布局的纵向主轴线，南接长岭北路延伸段、刚玉路。道路等级为城市主干道，红线宽度60m，双向十车道。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本道路起点K0+000西起白云北路延伸段，在该处与白云北路延伸段及白修线形成十字形的平面交叉口。然后道路往东北方向延伸，在K0+387处设R=700m的曲线后左偏，道路继续向东北方向延伸，在K1+538处设R=800m的曲线后，路线呈水平向东延伸，于K2+020处上跨麦架河，K2+100至K2+500道路右侧穿过玫瑰基地，在K3+580处道路左侧穿过白云区麻堡小学（现已搬迁），在K5+500处道路左侧穿过白云区云山碳素厂、白云区镀锌厂，在K5+850处设R=3500m的曲线后路线向东北方向延伸，于K6+200处经过域口，最后路线沿规划走向分别与210国道相交，终点下穿贵遵高速公路后于沙文立交处接盐沙大道终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项目地理位置图见图2.1-1.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19" w:name="_Toc30270"/>
      <w:r>
        <w:rPr>
          <w:rFonts w:hint="eastAsia" w:ascii="Times New Roman" w:hAnsi="Times New Roman" w:eastAsia="宋体" w:cs="Times New Roman"/>
          <w:sz w:val="24"/>
          <w:szCs w:val="24"/>
          <w:lang w:val="en-US" w:eastAsia="zh-CN"/>
        </w:rPr>
        <w:t>2.2项目建设过程</w:t>
      </w:r>
      <w:bookmarkEnd w:id="19"/>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《关于贵阳高新技术产业经济带沙文生态科技产业园麦沙大道道路工程建设项目立项的批复》（筑发改投字[2008]426号），贵阳市发展和和改革委员会，2008.06.25；</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关于对《贵阳高新技术产业经济带沙文生态科技产业园麦沙大道道路工程水土保持方案报告书》的批复，筑水保字[2008]41号，贵阳水利局，2008.11.24；</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关于对《贵阳高新技术产业经济带沙文生态科技产业园麦沙大道道路工程环境影响评价大纲》的审查意见，黔环评估纲[2008]188号，贵州省环境评估中心，2008.11.26</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《贵阳高新技术产业经济带沙文生态科技产业园麦沙大道道路工程环境影响评价报告书》，贵州省环境科学研究设计院，2009.03；</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《关于贵阳高新技术产业经济带沙文生态科技产业园麦沙大道道路工程环境影响评价报告书的批复》（黔环函[2009]186号），贵州省环境保护厅，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sectPr>
          <w:pgSz w:w="11906" w:h="16838"/>
          <w:pgMar w:top="1440" w:right="1800" w:bottom="1440" w:left="180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8858885" cy="4858385"/>
            <wp:effectExtent l="0" t="0" r="18415" b="18415"/>
            <wp:docPr id="56" name="图片 56" descr="7B87900D-7A34-48da-A7E1-A4EE8F9153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7B87900D-7A34-48da-A7E1-A4EE8F9153AA"/>
                    <pic:cNvPicPr>
                      <a:picLocks noChangeAspect="1"/>
                    </pic:cNvPicPr>
                  </pic:nvPicPr>
                  <pic:blipFill>
                    <a:blip r:embed="rId27"/>
                    <a:stretch>
                      <a:fillRect/>
                    </a:stretch>
                  </pic:blipFill>
                  <pic:spPr>
                    <a:xfrm>
                      <a:off x="0" y="0"/>
                      <a:ext cx="8858885" cy="485838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outlineLvl w:val="9"/>
        <w:rPr>
          <w:rFonts w:hint="eastAsia"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r>
        <w:rPr>
          <w:rFonts w:hint="eastAsia" w:ascii="Times New Roman" w:hAnsi="Times New Roman" w:eastAsia="宋体" w:cs="Times New Roman"/>
          <w:sz w:val="24"/>
          <w:szCs w:val="24"/>
          <w:lang w:val="en-US" w:eastAsia="zh-CN"/>
        </w:rPr>
        <w:t>图2.1-1 项目地理位置及走势图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2009.04.03；</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本项目于2010年04月28日开工建设，2014年11月06日所有标段完成验收并投入使用。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从以上建设过程分析，本项目建设过程中执行了建设项目环境保护管理程序和“三同时”管理制度。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20" w:name="_Toc23694"/>
      <w:r>
        <w:rPr>
          <w:rFonts w:hint="eastAsia" w:ascii="Times New Roman" w:hAnsi="Times New Roman" w:eastAsia="宋体" w:cs="Times New Roman"/>
          <w:sz w:val="24"/>
          <w:szCs w:val="24"/>
          <w:lang w:val="en-US" w:eastAsia="zh-CN"/>
        </w:rPr>
        <w:t>2.3建设内容</w:t>
      </w:r>
      <w:bookmarkEnd w:id="2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21" w:name="_Toc4036"/>
      <w:r>
        <w:rPr>
          <w:rFonts w:hint="eastAsia" w:ascii="Times New Roman" w:hAnsi="Times New Roman" w:eastAsia="宋体" w:cs="Times New Roman"/>
          <w:sz w:val="24"/>
          <w:szCs w:val="24"/>
          <w:lang w:val="en-US" w:eastAsia="zh-CN"/>
        </w:rPr>
        <w:t>2.3.1建设规模及主要技术指标</w:t>
      </w:r>
      <w:bookmarkEnd w:id="2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全长7.01km，路面宽60m，为沥青混凝土路面，设计时速60km/h，工程总投资91813.51万元，平均造价13097.50万元/km。本项目改扩建长810m(K6+200～K7+010)，占线路总长的11.55%。道路宽30m，沥青路面，两侧有沙文镇居民聚集，道路较为完好，本次项目拟对该段路进行拓宽改造成红线宽60m的大道。新建路段长6200m(K0+000～K6+200)，占线路总长的88.45%。新建路段长超过总长度的50%，本项目定性为新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本项目线性较好，高填深挖路段较少。项目主要技术指标见表2.3.1-1，项目组成见表2.3.1-2，高填深挖路段见表2.3.1-3。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表2.3.1-1 项目主要技术指标</w:t>
      </w:r>
    </w:p>
    <w:tbl>
      <w:tblPr>
        <w:tblStyle w:val="9"/>
        <w:tblW w:w="12054" w:type="dxa"/>
        <w:jc w:val="center"/>
        <w:shd w:val="clear" w:color="auto" w:fill="auto"/>
        <w:tblLayout w:type="fixed"/>
        <w:tblCellMar>
          <w:top w:w="0" w:type="dxa"/>
          <w:left w:w="0" w:type="dxa"/>
          <w:bottom w:w="0" w:type="dxa"/>
          <w:right w:w="0" w:type="dxa"/>
        </w:tblCellMar>
      </w:tblPr>
      <w:tblGrid>
        <w:gridCol w:w="1239"/>
        <w:gridCol w:w="1685"/>
        <w:gridCol w:w="1538"/>
        <w:gridCol w:w="1330"/>
        <w:gridCol w:w="1857"/>
        <w:gridCol w:w="1857"/>
      </w:tblGrid>
      <w:tr>
        <w:tblPrEx>
          <w:shd w:val="clear" w:color="auto" w:fill="auto"/>
          <w:tblCellMar>
            <w:top w:w="0" w:type="dxa"/>
            <w:left w:w="0" w:type="dxa"/>
            <w:bottom w:w="0" w:type="dxa"/>
            <w:right w:w="0" w:type="dxa"/>
          </w:tblCellMar>
        </w:tblPrEx>
        <w:trPr>
          <w:trHeight w:val="531" w:hRule="atLeast"/>
          <w:jc w:val="center"/>
        </w:trPr>
        <w:tc>
          <w:tcPr>
            <w:tcW w:w="4462" w:type="dxa"/>
            <w:gridSpan w:val="3"/>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default" w:ascii="Times New Roman" w:hAnsi="Times New Roman" w:eastAsia="宋体" w:cs="Times New Roman"/>
                <w:b/>
                <w:bCs/>
                <w:lang w:val="en-US" w:eastAsia="zh-CN" w:bidi="ar"/>
              </w:rPr>
              <w:t>项目</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default" w:ascii="Times New Roman" w:hAnsi="Times New Roman" w:eastAsia="宋体" w:cs="Times New Roman"/>
                <w:b/>
                <w:bCs/>
                <w:lang w:val="en-US" w:eastAsia="zh-CN" w:bidi="ar"/>
              </w:rPr>
              <w:t>单位</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default" w:ascii="Times New Roman" w:hAnsi="Times New Roman" w:eastAsia="宋体" w:cs="Times New Roman"/>
                <w:b/>
                <w:bCs/>
                <w:lang w:val="en-US" w:eastAsia="zh-CN" w:bidi="ar"/>
              </w:rPr>
              <w:t>规范要求值</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bCs/>
                <w:i w:val="0"/>
                <w:color w:val="000000"/>
                <w:sz w:val="22"/>
                <w:szCs w:val="22"/>
                <w:u w:val="none"/>
              </w:rPr>
            </w:pPr>
            <w:r>
              <w:rPr>
                <w:rStyle w:val="16"/>
                <w:rFonts w:hint="default" w:ascii="Times New Roman" w:hAnsi="Times New Roman" w:eastAsia="宋体" w:cs="Times New Roman"/>
                <w:b/>
                <w:bCs/>
                <w:lang w:val="en-US" w:eastAsia="zh-CN" w:bidi="ar"/>
              </w:rPr>
              <w:t>麦沙大道釆用值</w:t>
            </w:r>
          </w:p>
        </w:tc>
      </w:tr>
      <w:tr>
        <w:tblPrEx>
          <w:tblCellMar>
            <w:top w:w="0" w:type="dxa"/>
            <w:left w:w="0" w:type="dxa"/>
            <w:bottom w:w="0" w:type="dxa"/>
            <w:right w:w="0" w:type="dxa"/>
          </w:tblCellMar>
        </w:tblPrEx>
        <w:trPr>
          <w:trHeight w:val="330" w:hRule="atLeast"/>
          <w:jc w:val="center"/>
        </w:trPr>
        <w:tc>
          <w:tcPr>
            <w:tcW w:w="4462" w:type="dxa"/>
            <w:gridSpan w:val="3"/>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道路等级</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0"/>
                <w:szCs w:val="20"/>
                <w:u w:val="none"/>
              </w:rPr>
            </w:pPr>
          </w:p>
        </w:tc>
        <w:tc>
          <w:tcPr>
            <w:tcW w:w="1857" w:type="dxa"/>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6"/>
                <w:rFonts w:hint="default" w:ascii="Times New Roman" w:hAnsi="Times New Roman" w:eastAsia="宋体" w:cs="Times New Roman"/>
                <w:b w:val="0"/>
                <w:bCs w:val="0"/>
                <w:lang w:val="en-US" w:eastAsia="zh-CN" w:bidi="ar"/>
              </w:rPr>
              <w:t>城市</w:t>
            </w:r>
            <w:r>
              <w:rPr>
                <w:rStyle w:val="17"/>
                <w:rFonts w:hint="default" w:ascii="Times New Roman" w:hAnsi="Times New Roman" w:eastAsia="宋体" w:cs="Times New Roman"/>
                <w:b w:val="0"/>
                <w:bCs w:val="0"/>
                <w:lang w:val="en-US" w:eastAsia="zh-CN" w:bidi="ar"/>
              </w:rPr>
              <w:t>I</w:t>
            </w:r>
            <w:r>
              <w:rPr>
                <w:rStyle w:val="16"/>
                <w:rFonts w:hint="default" w:ascii="Times New Roman" w:hAnsi="Times New Roman" w:eastAsia="宋体" w:cs="Times New Roman"/>
                <w:b w:val="0"/>
                <w:bCs w:val="0"/>
                <w:lang w:val="en-US" w:eastAsia="zh-CN" w:bidi="ar"/>
              </w:rPr>
              <w:t>级主干道</w:t>
            </w:r>
          </w:p>
        </w:tc>
        <w:tc>
          <w:tcPr>
            <w:tcW w:w="1857" w:type="dxa"/>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6"/>
                <w:rFonts w:hint="default" w:ascii="Times New Roman" w:hAnsi="Times New Roman" w:eastAsia="宋体" w:cs="Times New Roman"/>
                <w:b w:val="0"/>
                <w:bCs w:val="0"/>
                <w:lang w:val="en-US" w:eastAsia="zh-CN" w:bidi="ar"/>
              </w:rPr>
              <w:t>城市</w:t>
            </w:r>
            <w:r>
              <w:rPr>
                <w:rStyle w:val="17"/>
                <w:rFonts w:hint="default" w:ascii="Times New Roman" w:hAnsi="Times New Roman" w:eastAsia="宋体" w:cs="Times New Roman"/>
                <w:b w:val="0"/>
                <w:bCs w:val="0"/>
                <w:lang w:val="en-US" w:eastAsia="zh-CN" w:bidi="ar"/>
              </w:rPr>
              <w:t>I</w:t>
            </w:r>
            <w:r>
              <w:rPr>
                <w:rStyle w:val="16"/>
                <w:rFonts w:hint="default" w:ascii="Times New Roman" w:hAnsi="Times New Roman" w:eastAsia="宋体" w:cs="Times New Roman"/>
                <w:b w:val="0"/>
                <w:bCs w:val="0"/>
                <w:lang w:val="en-US" w:eastAsia="zh-CN" w:bidi="ar"/>
              </w:rPr>
              <w:t>级主干道</w:t>
            </w:r>
          </w:p>
        </w:tc>
      </w:tr>
      <w:tr>
        <w:tblPrEx>
          <w:tblCellMar>
            <w:top w:w="0" w:type="dxa"/>
            <w:left w:w="0" w:type="dxa"/>
            <w:bottom w:w="0" w:type="dxa"/>
            <w:right w:w="0" w:type="dxa"/>
          </w:tblCellMar>
        </w:tblPrEx>
        <w:trPr>
          <w:trHeight w:val="330" w:hRule="atLeast"/>
          <w:jc w:val="center"/>
        </w:trPr>
        <w:tc>
          <w:tcPr>
            <w:tcW w:w="4462" w:type="dxa"/>
            <w:gridSpan w:val="3"/>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计算行车速度</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km/h</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60</w:t>
            </w:r>
          </w:p>
        </w:tc>
      </w:tr>
      <w:tr>
        <w:tblPrEx>
          <w:tblCellMar>
            <w:top w:w="0" w:type="dxa"/>
            <w:left w:w="0" w:type="dxa"/>
            <w:bottom w:w="0" w:type="dxa"/>
            <w:right w:w="0" w:type="dxa"/>
          </w:tblCellMar>
        </w:tblPrEx>
        <w:trPr>
          <w:trHeight w:val="330" w:hRule="atLeast"/>
          <w:jc w:val="center"/>
        </w:trPr>
        <w:tc>
          <w:tcPr>
            <w:tcW w:w="4462" w:type="dxa"/>
            <w:gridSpan w:val="3"/>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路面设计标准轴载</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0"/>
                <w:szCs w:val="20"/>
                <w:u w:val="none"/>
              </w:rPr>
            </w:pP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BZZ-100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BZZ-100</w:t>
            </w:r>
          </w:p>
        </w:tc>
      </w:tr>
      <w:tr>
        <w:tblPrEx>
          <w:tblCellMar>
            <w:top w:w="0" w:type="dxa"/>
            <w:left w:w="0" w:type="dxa"/>
            <w:bottom w:w="0" w:type="dxa"/>
            <w:right w:w="0" w:type="dxa"/>
          </w:tblCellMar>
        </w:tblPrEx>
        <w:trPr>
          <w:trHeight w:val="330" w:hRule="atLeast"/>
          <w:jc w:val="center"/>
        </w:trPr>
        <w:tc>
          <w:tcPr>
            <w:tcW w:w="1239"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最</w:t>
            </w: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机动车道</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人行道</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2.5</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25</w:t>
            </w:r>
          </w:p>
        </w:tc>
      </w:tr>
      <w:tr>
        <w:tblPrEx>
          <w:tblCellMar>
            <w:top w:w="0" w:type="dxa"/>
            <w:left w:w="0" w:type="dxa"/>
            <w:bottom w:w="0" w:type="dxa"/>
            <w:right w:w="0" w:type="dxa"/>
          </w:tblCellMar>
        </w:tblPrEx>
        <w:trPr>
          <w:trHeight w:val="330" w:hRule="atLeast"/>
          <w:jc w:val="center"/>
        </w:trPr>
        <w:tc>
          <w:tcPr>
            <w:tcW w:w="1239"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平曲线</w:t>
            </w: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不设超高最小圆曲线半径</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600</w:t>
            </w:r>
          </w:p>
        </w:tc>
        <w:tc>
          <w:tcPr>
            <w:tcW w:w="1857"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1000</w:t>
            </w: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设超高最小圆曲线半径</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150</w:t>
            </w:r>
          </w:p>
        </w:tc>
        <w:tc>
          <w:tcPr>
            <w:tcW w:w="1857" w:type="dxa"/>
            <w:vMerge w:val="continue"/>
            <w:tcBorders>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不设缓和曲线</w:t>
            </w:r>
            <w:r>
              <w:rPr>
                <w:rFonts w:hint="eastAsia" w:ascii="Times New Roman" w:hAnsi="Times New Roman" w:eastAsia="宋体" w:cs="Times New Roman"/>
                <w:kern w:val="2"/>
                <w:sz w:val="24"/>
                <w:szCs w:val="24"/>
                <w:lang w:val="en-US" w:eastAsia="zh-CN" w:bidi="ar-SA"/>
              </w:rPr>
              <w:t>最</w:t>
            </w:r>
            <w:r>
              <w:rPr>
                <w:rFonts w:hint="default" w:ascii="Times New Roman" w:hAnsi="Times New Roman" w:eastAsia="宋体" w:cs="Times New Roman"/>
                <w:kern w:val="2"/>
                <w:sz w:val="24"/>
                <w:szCs w:val="24"/>
                <w:lang w:val="en-US" w:eastAsia="zh-CN" w:bidi="ar-SA"/>
              </w:rPr>
              <w:t>小圆曲线半径</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1000</w:t>
            </w:r>
          </w:p>
        </w:tc>
        <w:tc>
          <w:tcPr>
            <w:tcW w:w="1857"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0"/>
                <w:szCs w:val="20"/>
                <w:u w:val="none"/>
              </w:rPr>
            </w:pP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平曲线最小长度</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100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120</w:t>
            </w: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缓和曲线是小长度</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50</w:t>
            </w:r>
          </w:p>
        </w:tc>
      </w:tr>
      <w:tr>
        <w:tblPrEx>
          <w:tblCellMar>
            <w:top w:w="0" w:type="dxa"/>
            <w:left w:w="0" w:type="dxa"/>
            <w:bottom w:w="0" w:type="dxa"/>
            <w:right w:w="0" w:type="dxa"/>
          </w:tblCellMar>
        </w:tblPrEx>
        <w:trPr>
          <w:trHeight w:val="330" w:hRule="atLeast"/>
          <w:jc w:val="center"/>
        </w:trPr>
        <w:tc>
          <w:tcPr>
            <w:tcW w:w="1239"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竖曲线</w:t>
            </w:r>
          </w:p>
        </w:tc>
        <w:tc>
          <w:tcPr>
            <w:tcW w:w="1685" w:type="dxa"/>
            <w:vMerge w:val="restart"/>
            <w:tcBorders>
              <w:top w:val="single" w:color="000000" w:sz="8" w:space="0"/>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一般最</w:t>
            </w:r>
            <w:r>
              <w:rPr>
                <w:rFonts w:hint="eastAsia" w:ascii="Times New Roman" w:hAnsi="Times New Roman" w:eastAsia="宋体" w:cs="Times New Roman"/>
                <w:kern w:val="2"/>
                <w:sz w:val="24"/>
                <w:szCs w:val="24"/>
                <w:lang w:val="en-US" w:eastAsia="zh-CN" w:bidi="ar-SA"/>
              </w:rPr>
              <w:t>小</w:t>
            </w:r>
            <w:r>
              <w:rPr>
                <w:rFonts w:hint="default" w:ascii="Times New Roman" w:hAnsi="Times New Roman" w:eastAsia="宋体" w:cs="Times New Roman"/>
                <w:kern w:val="2"/>
                <w:sz w:val="24"/>
                <w:szCs w:val="24"/>
                <w:lang w:val="en-US" w:eastAsia="zh-CN" w:bidi="ar-SA"/>
              </w:rPr>
              <w:t>半径</w:t>
            </w:r>
          </w:p>
        </w:tc>
        <w:tc>
          <w:tcPr>
            <w:tcW w:w="15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凸型竖曲线</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1800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3000</w:t>
            </w: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1685"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15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凹型竖曲线</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1500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2000</w:t>
            </w: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最大纵坡推荐值</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color w:val="000000"/>
                <w:sz w:val="20"/>
                <w:szCs w:val="20"/>
                <w:u w:val="none"/>
              </w:rPr>
            </w:pPr>
            <w:r>
              <w:rPr>
                <w:rStyle w:val="19"/>
                <w:rFonts w:hint="default" w:ascii="Times New Roman" w:hAnsi="Times New Roman" w:eastAsia="宋体" w:cs="Times New Roman"/>
                <w:b w:val="0"/>
                <w:bCs w:val="0"/>
                <w:lang w:val="en-US" w:eastAsia="zh-CN" w:bidi="ar"/>
              </w:rPr>
              <w:t>%</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5</w:t>
            </w:r>
            <w:r>
              <w:rPr>
                <w:rFonts w:hint="eastAsia" w:ascii="Times New Roman" w:hAnsi="Times New Roman" w:eastAsia="宋体" w:cs="Times New Roman"/>
                <w:b w:val="0"/>
                <w:bCs w:val="0"/>
                <w:i w:val="0"/>
                <w:color w:val="000000"/>
                <w:kern w:val="0"/>
                <w:sz w:val="22"/>
                <w:szCs w:val="22"/>
                <w:u w:val="none"/>
                <w:lang w:val="en-US" w:eastAsia="zh-CN" w:bidi="ar"/>
              </w:rPr>
              <w:t>.</w:t>
            </w:r>
            <w:r>
              <w:rPr>
                <w:rFonts w:hint="default" w:ascii="Times New Roman" w:hAnsi="Times New Roman" w:eastAsia="宋体" w:cs="Times New Roman"/>
                <w:b w:val="0"/>
                <w:bCs w:val="0"/>
                <w:i w:val="0"/>
                <w:color w:val="000000"/>
                <w:kern w:val="0"/>
                <w:sz w:val="22"/>
                <w:szCs w:val="22"/>
                <w:u w:val="none"/>
                <w:lang w:val="en-US" w:eastAsia="zh-CN" w:bidi="ar"/>
              </w:rPr>
              <w:t>36</w:t>
            </w: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最小城长</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170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300</w:t>
            </w:r>
          </w:p>
        </w:tc>
      </w:tr>
      <w:tr>
        <w:tblPrEx>
          <w:tblCellMar>
            <w:top w:w="0" w:type="dxa"/>
            <w:left w:w="0" w:type="dxa"/>
            <w:bottom w:w="0" w:type="dxa"/>
            <w:right w:w="0" w:type="dxa"/>
          </w:tblCellMar>
        </w:tblPrEx>
        <w:trPr>
          <w:trHeight w:val="330" w:hRule="atLeast"/>
          <w:jc w:val="center"/>
        </w:trPr>
        <w:tc>
          <w:tcPr>
            <w:tcW w:w="1239" w:type="dxa"/>
            <w:vMerge w:val="continue"/>
            <w:tcBorders>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p>
        </w:tc>
        <w:tc>
          <w:tcPr>
            <w:tcW w:w="3223" w:type="dxa"/>
            <w:gridSpan w:val="2"/>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停车视距</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7"/>
                <w:rFonts w:hint="default" w:ascii="Times New Roman" w:hAnsi="Times New Roman" w:eastAsia="宋体" w:cs="Times New Roman"/>
                <w:b w:val="0"/>
                <w:bCs w:val="0"/>
                <w:lang w:val="en-US" w:eastAsia="zh-CN" w:bidi="ar"/>
              </w:rPr>
              <w:t>m</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70</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70</w:t>
            </w:r>
          </w:p>
        </w:tc>
      </w:tr>
      <w:tr>
        <w:tblPrEx>
          <w:tblCellMar>
            <w:top w:w="0" w:type="dxa"/>
            <w:left w:w="0" w:type="dxa"/>
            <w:bottom w:w="0" w:type="dxa"/>
            <w:right w:w="0" w:type="dxa"/>
          </w:tblCellMar>
        </w:tblPrEx>
        <w:trPr>
          <w:trHeight w:val="330" w:hRule="atLeast"/>
          <w:jc w:val="center"/>
        </w:trPr>
        <w:tc>
          <w:tcPr>
            <w:tcW w:w="4462" w:type="dxa"/>
            <w:gridSpan w:val="3"/>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抗震设防</w:t>
            </w:r>
          </w:p>
        </w:tc>
        <w:tc>
          <w:tcPr>
            <w:tcW w:w="133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Style w:val="16"/>
                <w:rFonts w:hint="default" w:ascii="Times New Roman" w:hAnsi="Times New Roman" w:eastAsia="宋体" w:cs="Times New Roman"/>
                <w:b w:val="0"/>
                <w:bCs w:val="0"/>
                <w:lang w:val="en-US" w:eastAsia="zh-CN" w:bidi="ar"/>
              </w:rPr>
              <w:t>度</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w:t>
            </w:r>
          </w:p>
        </w:tc>
        <w:tc>
          <w:tcPr>
            <w:tcW w:w="185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2"/>
                <w:szCs w:val="22"/>
                <w:u w:val="none"/>
              </w:rPr>
            </w:pPr>
            <w:r>
              <w:rPr>
                <w:rFonts w:hint="default" w:ascii="Times New Roman" w:hAnsi="Times New Roman" w:eastAsia="宋体" w:cs="Times New Roman"/>
                <w:b w:val="0"/>
                <w:bCs w:val="0"/>
                <w:i w:val="0"/>
                <w:color w:val="000000"/>
                <w:kern w:val="0"/>
                <w:sz w:val="22"/>
                <w:szCs w:val="22"/>
                <w:u w:val="none"/>
                <w:lang w:val="en-US" w:eastAsia="zh-CN" w:bidi="ar"/>
              </w:rPr>
              <w:t>6</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表2.3.1-2 项目组成</w:t>
      </w:r>
    </w:p>
    <w:tbl>
      <w:tblPr>
        <w:tblStyle w:val="9"/>
        <w:tblW w:w="10128" w:type="dxa"/>
        <w:jc w:val="center"/>
        <w:shd w:val="clear" w:color="auto" w:fill="auto"/>
        <w:tblLayout w:type="fixed"/>
        <w:tblCellMar>
          <w:top w:w="0" w:type="dxa"/>
          <w:left w:w="0" w:type="dxa"/>
          <w:bottom w:w="0" w:type="dxa"/>
          <w:right w:w="0" w:type="dxa"/>
        </w:tblCellMar>
      </w:tblPr>
      <w:tblGrid>
        <w:gridCol w:w="1462"/>
        <w:gridCol w:w="1838"/>
        <w:gridCol w:w="3206"/>
        <w:gridCol w:w="1016"/>
        <w:gridCol w:w="1200"/>
        <w:gridCol w:w="1406"/>
      </w:tblGrid>
      <w:tr>
        <w:tblPrEx>
          <w:tblCellMar>
            <w:top w:w="0" w:type="dxa"/>
            <w:left w:w="0" w:type="dxa"/>
            <w:bottom w:w="0" w:type="dxa"/>
            <w:right w:w="0" w:type="dxa"/>
          </w:tblCellMar>
        </w:tblPrEx>
        <w:trPr>
          <w:trHeight w:val="490" w:hRule="atLeast"/>
          <w:jc w:val="center"/>
        </w:trPr>
        <w:tc>
          <w:tcPr>
            <w:tcW w:w="1462" w:type="dxa"/>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序 号</w:t>
            </w:r>
          </w:p>
        </w:tc>
        <w:tc>
          <w:tcPr>
            <w:tcW w:w="18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路段桩号</w:t>
            </w:r>
          </w:p>
        </w:tc>
        <w:tc>
          <w:tcPr>
            <w:tcW w:w="32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原有道路情况</w:t>
            </w:r>
          </w:p>
        </w:tc>
        <w:tc>
          <w:tcPr>
            <w:tcW w:w="101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eastAsia" w:ascii="Times New Roman" w:hAnsi="Times New Roman" w:eastAsia="宋体" w:cs="Times New Roman"/>
                <w:b/>
                <w:bCs/>
                <w:i w:val="0"/>
                <w:color w:val="000000"/>
                <w:sz w:val="21"/>
                <w:szCs w:val="21"/>
                <w:u w:val="none"/>
                <w:lang w:eastAsia="zh-CN"/>
              </w:rPr>
            </w:pPr>
            <w:r>
              <w:rPr>
                <w:rFonts w:hint="eastAsia" w:ascii="Times New Roman" w:hAnsi="Times New Roman" w:eastAsia="宋体" w:cs="Times New Roman"/>
                <w:b/>
                <w:bCs/>
                <w:i w:val="0"/>
                <w:color w:val="000000"/>
                <w:sz w:val="21"/>
                <w:szCs w:val="21"/>
                <w:u w:val="none"/>
                <w:lang w:eastAsia="zh-CN"/>
              </w:rPr>
              <w:t>性质</w:t>
            </w:r>
          </w:p>
        </w:tc>
        <w:tc>
          <w:tcPr>
            <w:tcW w:w="120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长度(m)</w:t>
            </w:r>
          </w:p>
        </w:tc>
        <w:tc>
          <w:tcPr>
            <w:tcW w:w="14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占总长的比例</w:t>
            </w:r>
          </w:p>
        </w:tc>
      </w:tr>
      <w:tr>
        <w:tblPrEx>
          <w:tblCellMar>
            <w:top w:w="0" w:type="dxa"/>
            <w:left w:w="0" w:type="dxa"/>
            <w:bottom w:w="0" w:type="dxa"/>
            <w:right w:w="0" w:type="dxa"/>
          </w:tblCellMar>
        </w:tblPrEx>
        <w:trPr>
          <w:trHeight w:val="1370" w:hRule="atLeast"/>
          <w:jc w:val="center"/>
        </w:trPr>
        <w:tc>
          <w:tcPr>
            <w:tcW w:w="146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w:t>
            </w:r>
          </w:p>
        </w:tc>
        <w:tc>
          <w:tcPr>
            <w:tcW w:w="18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K</w:t>
            </w:r>
            <w:r>
              <w:rPr>
                <w:rFonts w:hint="eastAsia" w:ascii="Times New Roman" w:hAnsi="Times New Roman" w:eastAsia="宋体" w:cs="Times New Roman"/>
                <w:b w:val="0"/>
                <w:bCs w:val="0"/>
                <w:i w:val="0"/>
                <w:color w:val="000000"/>
                <w:kern w:val="0"/>
                <w:sz w:val="21"/>
                <w:szCs w:val="21"/>
                <w:u w:val="none"/>
                <w:lang w:val="en-US" w:eastAsia="zh-CN" w:bidi="ar"/>
              </w:rPr>
              <w:t>6+200</w:t>
            </w:r>
            <w:r>
              <w:rPr>
                <w:rFonts w:hint="default" w:ascii="Times New Roman" w:hAnsi="Times New Roman" w:eastAsia="宋体" w:cs="Times New Roman"/>
                <w:b w:val="0"/>
                <w:bCs w:val="0"/>
                <w:i w:val="0"/>
                <w:color w:val="000000"/>
                <w:kern w:val="0"/>
                <w:sz w:val="21"/>
                <w:szCs w:val="21"/>
                <w:u w:val="none"/>
                <w:lang w:val="en-US" w:eastAsia="zh-CN" w:bidi="ar"/>
              </w:rPr>
              <w:t>〜K7+010</w:t>
            </w:r>
          </w:p>
        </w:tc>
        <w:tc>
          <w:tcPr>
            <w:tcW w:w="3206" w:type="dxa"/>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道路宽30m</w:t>
            </w:r>
            <w:r>
              <w:rPr>
                <w:rFonts w:hint="eastAsia" w:ascii="Times New Roman" w:hAnsi="Times New Roman" w:eastAsia="宋体" w:cs="Times New Roman"/>
                <w:b w:val="0"/>
                <w:bCs w:val="0"/>
                <w:i w:val="0"/>
                <w:color w:val="000000"/>
                <w:kern w:val="0"/>
                <w:sz w:val="21"/>
                <w:szCs w:val="21"/>
                <w:u w:val="none"/>
                <w:lang w:val="en-US" w:eastAsia="zh-CN" w:bidi="ar"/>
              </w:rPr>
              <w:t>，</w:t>
            </w:r>
            <w:r>
              <w:rPr>
                <w:rFonts w:hint="default" w:ascii="Times New Roman" w:hAnsi="Times New Roman" w:eastAsia="宋体" w:cs="Times New Roman"/>
                <w:b w:val="0"/>
                <w:bCs w:val="0"/>
                <w:i w:val="0"/>
                <w:color w:val="000000"/>
                <w:kern w:val="0"/>
                <w:sz w:val="21"/>
                <w:szCs w:val="21"/>
                <w:u w:val="none"/>
                <w:lang w:val="en-US" w:eastAsia="zh-CN" w:bidi="ar"/>
              </w:rPr>
              <w:t>沥青路面，两侧有沙文</w:t>
            </w:r>
            <w:r>
              <w:rPr>
                <w:rFonts w:hint="eastAsia" w:ascii="Times New Roman" w:hAnsi="Times New Roman" w:eastAsia="宋体" w:cs="Times New Roman"/>
                <w:b w:val="0"/>
                <w:bCs w:val="0"/>
                <w:i w:val="0"/>
                <w:color w:val="000000"/>
                <w:kern w:val="0"/>
                <w:sz w:val="21"/>
                <w:szCs w:val="21"/>
                <w:u w:val="none"/>
                <w:lang w:val="en-US" w:eastAsia="zh-CN" w:bidi="ar"/>
              </w:rPr>
              <w:t>镇</w:t>
            </w:r>
            <w:r>
              <w:rPr>
                <w:rFonts w:hint="default" w:ascii="Times New Roman" w:hAnsi="Times New Roman" w:eastAsia="宋体" w:cs="Times New Roman"/>
                <w:b w:val="0"/>
                <w:bCs w:val="0"/>
                <w:i w:val="0"/>
                <w:color w:val="000000"/>
                <w:kern w:val="0"/>
                <w:sz w:val="21"/>
                <w:szCs w:val="21"/>
                <w:u w:val="none"/>
                <w:lang w:val="en-US" w:eastAsia="zh-CN" w:bidi="ar"/>
              </w:rPr>
              <w:t>居民聚集，道路较为完好，本次</w:t>
            </w:r>
            <w:r>
              <w:rPr>
                <w:rFonts w:hint="eastAsia" w:ascii="Times New Roman" w:hAnsi="Times New Roman" w:eastAsia="宋体" w:cs="Times New Roman"/>
                <w:b w:val="0"/>
                <w:bCs w:val="0"/>
                <w:i w:val="0"/>
                <w:color w:val="000000"/>
                <w:kern w:val="0"/>
                <w:sz w:val="21"/>
                <w:szCs w:val="21"/>
                <w:u w:val="none"/>
                <w:lang w:val="en-US" w:eastAsia="zh-CN" w:bidi="ar"/>
              </w:rPr>
              <w:t>项目</w:t>
            </w:r>
            <w:r>
              <w:rPr>
                <w:rFonts w:hint="default" w:ascii="Times New Roman" w:hAnsi="Times New Roman" w:eastAsia="宋体" w:cs="Times New Roman"/>
                <w:b w:val="0"/>
                <w:bCs w:val="0"/>
                <w:i w:val="0"/>
                <w:color w:val="000000"/>
                <w:kern w:val="0"/>
                <w:sz w:val="21"/>
                <w:szCs w:val="21"/>
                <w:u w:val="none"/>
                <w:lang w:val="en-US" w:eastAsia="zh-CN" w:bidi="ar"/>
              </w:rPr>
              <w:t>对该段路进行拓宽改造成红线</w:t>
            </w:r>
            <w:r>
              <w:rPr>
                <w:rFonts w:hint="eastAsia" w:ascii="Times New Roman" w:hAnsi="Times New Roman" w:eastAsia="宋体" w:cs="Times New Roman"/>
                <w:b w:val="0"/>
                <w:bCs w:val="0"/>
                <w:i w:val="0"/>
                <w:color w:val="000000"/>
                <w:kern w:val="0"/>
                <w:sz w:val="21"/>
                <w:szCs w:val="21"/>
                <w:u w:val="none"/>
                <w:lang w:val="en-US" w:eastAsia="zh-CN" w:bidi="ar"/>
              </w:rPr>
              <w:t>宽</w:t>
            </w:r>
            <w:r>
              <w:rPr>
                <w:rFonts w:hint="default" w:ascii="Times New Roman" w:hAnsi="Times New Roman" w:eastAsia="宋体" w:cs="Times New Roman"/>
                <w:b w:val="0"/>
                <w:bCs w:val="0"/>
                <w:i w:val="0"/>
                <w:color w:val="000000"/>
                <w:kern w:val="0"/>
                <w:sz w:val="21"/>
                <w:szCs w:val="21"/>
                <w:u w:val="none"/>
                <w:lang w:val="en-US" w:eastAsia="zh-CN" w:bidi="ar"/>
              </w:rPr>
              <w:t>60m的大道</w:t>
            </w:r>
          </w:p>
        </w:tc>
        <w:tc>
          <w:tcPr>
            <w:tcW w:w="101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改扩建</w:t>
            </w:r>
          </w:p>
        </w:tc>
        <w:tc>
          <w:tcPr>
            <w:tcW w:w="120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810</w:t>
            </w:r>
          </w:p>
        </w:tc>
        <w:tc>
          <w:tcPr>
            <w:tcW w:w="14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11.55%</w:t>
            </w:r>
          </w:p>
        </w:tc>
      </w:tr>
      <w:tr>
        <w:tblPrEx>
          <w:tblCellMar>
            <w:top w:w="0" w:type="dxa"/>
            <w:left w:w="0" w:type="dxa"/>
            <w:bottom w:w="0" w:type="dxa"/>
            <w:right w:w="0" w:type="dxa"/>
          </w:tblCellMar>
        </w:tblPrEx>
        <w:trPr>
          <w:trHeight w:val="491" w:hRule="atLeast"/>
          <w:jc w:val="center"/>
        </w:trPr>
        <w:tc>
          <w:tcPr>
            <w:tcW w:w="1462"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w:t>
            </w:r>
          </w:p>
        </w:tc>
        <w:tc>
          <w:tcPr>
            <w:tcW w:w="183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K</w:t>
            </w:r>
            <w:r>
              <w:rPr>
                <w:rFonts w:hint="eastAsia" w:ascii="Times New Roman" w:hAnsi="Times New Roman" w:eastAsia="宋体" w:cs="Times New Roman"/>
                <w:b w:val="0"/>
                <w:bCs w:val="0"/>
                <w:i w:val="0"/>
                <w:color w:val="000000"/>
                <w:kern w:val="0"/>
                <w:sz w:val="21"/>
                <w:szCs w:val="21"/>
                <w:u w:val="none"/>
                <w:lang w:val="en-US" w:eastAsia="zh-CN" w:bidi="ar"/>
              </w:rPr>
              <w:t>0</w:t>
            </w:r>
            <w:r>
              <w:rPr>
                <w:rFonts w:hint="default" w:ascii="Times New Roman" w:hAnsi="Times New Roman" w:eastAsia="宋体" w:cs="Times New Roman"/>
                <w:b w:val="0"/>
                <w:bCs w:val="0"/>
                <w:i w:val="0"/>
                <w:color w:val="000000"/>
                <w:kern w:val="0"/>
                <w:sz w:val="21"/>
                <w:szCs w:val="21"/>
                <w:u w:val="none"/>
                <w:lang w:val="en-US" w:eastAsia="zh-CN" w:bidi="ar"/>
              </w:rPr>
              <w:t>+</w:t>
            </w:r>
            <w:r>
              <w:rPr>
                <w:rFonts w:hint="eastAsia" w:ascii="Times New Roman" w:hAnsi="Times New Roman" w:eastAsia="宋体" w:cs="Times New Roman"/>
                <w:b w:val="0"/>
                <w:bCs w:val="0"/>
                <w:i w:val="0"/>
                <w:color w:val="000000"/>
                <w:kern w:val="0"/>
                <w:sz w:val="21"/>
                <w:szCs w:val="21"/>
                <w:u w:val="none"/>
                <w:lang w:val="en-US" w:eastAsia="zh-CN" w:bidi="ar"/>
              </w:rPr>
              <w:t>000</w:t>
            </w:r>
            <w:r>
              <w:rPr>
                <w:rFonts w:hint="default" w:ascii="Times New Roman" w:hAnsi="Times New Roman" w:eastAsia="宋体" w:cs="Times New Roman"/>
                <w:b w:val="0"/>
                <w:bCs w:val="0"/>
                <w:i w:val="0"/>
                <w:color w:val="000000"/>
                <w:kern w:val="0"/>
                <w:sz w:val="21"/>
                <w:szCs w:val="21"/>
                <w:u w:val="none"/>
                <w:lang w:val="en-US" w:eastAsia="zh-CN" w:bidi="ar"/>
              </w:rPr>
              <w:t xml:space="preserve"> 〜K6+200</w:t>
            </w:r>
          </w:p>
        </w:tc>
        <w:tc>
          <w:tcPr>
            <w:tcW w:w="32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w:t>
            </w:r>
          </w:p>
        </w:tc>
        <w:tc>
          <w:tcPr>
            <w:tcW w:w="101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新建</w:t>
            </w:r>
          </w:p>
        </w:tc>
        <w:tc>
          <w:tcPr>
            <w:tcW w:w="120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6200</w:t>
            </w:r>
          </w:p>
        </w:tc>
        <w:tc>
          <w:tcPr>
            <w:tcW w:w="1406"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88.45%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表2.3.1-3 高填深挖路段</w:t>
      </w:r>
    </w:p>
    <w:tbl>
      <w:tblPr>
        <w:tblStyle w:val="9"/>
        <w:tblW w:w="10097" w:type="dxa"/>
        <w:jc w:val="center"/>
        <w:shd w:val="clear" w:color="auto" w:fill="auto"/>
        <w:tblLayout w:type="fixed"/>
        <w:tblCellMar>
          <w:top w:w="0" w:type="dxa"/>
          <w:left w:w="0" w:type="dxa"/>
          <w:bottom w:w="0" w:type="dxa"/>
          <w:right w:w="0" w:type="dxa"/>
        </w:tblCellMar>
      </w:tblPr>
      <w:tblGrid>
        <w:gridCol w:w="1124"/>
        <w:gridCol w:w="2710"/>
        <w:gridCol w:w="2287"/>
        <w:gridCol w:w="1988"/>
        <w:gridCol w:w="1988"/>
      </w:tblGrid>
      <w:tr>
        <w:tblPrEx>
          <w:tblCellMar>
            <w:top w:w="0" w:type="dxa"/>
            <w:left w:w="0" w:type="dxa"/>
            <w:bottom w:w="0" w:type="dxa"/>
            <w:right w:w="0" w:type="dxa"/>
          </w:tblCellMar>
        </w:tblPrEx>
        <w:trPr>
          <w:trHeight w:val="435" w:hRule="atLeast"/>
          <w:jc w:val="center"/>
        </w:trPr>
        <w:tc>
          <w:tcPr>
            <w:tcW w:w="1124"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val="en-US" w:eastAsia="zh-CN"/>
              </w:rPr>
            </w:pPr>
            <w:r>
              <w:rPr>
                <w:rFonts w:hint="default" w:ascii="Times New Roman" w:hAnsi="Times New Roman" w:eastAsia="宋体" w:cs="Times New Roman"/>
                <w:b/>
                <w:bCs/>
                <w:i w:val="0"/>
                <w:color w:val="000000"/>
                <w:sz w:val="21"/>
                <w:szCs w:val="21"/>
                <w:u w:val="none"/>
                <w:lang w:val="en-US" w:eastAsia="zh-CN"/>
              </w:rPr>
              <w:t>序号</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val="en-US" w:eastAsia="zh-CN"/>
              </w:rPr>
            </w:pPr>
            <w:r>
              <w:rPr>
                <w:rFonts w:hint="default" w:ascii="Times New Roman" w:hAnsi="Times New Roman" w:eastAsia="宋体" w:cs="Times New Roman"/>
                <w:b/>
                <w:bCs/>
                <w:i w:val="0"/>
                <w:color w:val="000000"/>
                <w:sz w:val="21"/>
                <w:szCs w:val="21"/>
                <w:u w:val="none"/>
                <w:lang w:val="en-US" w:eastAsia="zh-CN"/>
              </w:rPr>
              <w:t>桩号</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val="en-US" w:eastAsia="zh-CN"/>
              </w:rPr>
            </w:pPr>
            <w:r>
              <w:rPr>
                <w:rFonts w:hint="default" w:ascii="Times New Roman" w:hAnsi="Times New Roman" w:eastAsia="宋体" w:cs="Times New Roman"/>
                <w:b/>
                <w:bCs/>
                <w:i w:val="0"/>
                <w:color w:val="000000"/>
                <w:sz w:val="21"/>
                <w:szCs w:val="21"/>
                <w:u w:val="none"/>
                <w:lang w:val="en-US" w:eastAsia="zh-CN"/>
              </w:rPr>
              <w:t>所属路段</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eastAsia="zh-CN"/>
              </w:rPr>
            </w:pPr>
            <w:r>
              <w:rPr>
                <w:rFonts w:hint="default" w:ascii="Times New Roman" w:hAnsi="Times New Roman" w:eastAsia="宋体" w:cs="Times New Roman"/>
                <w:b/>
                <w:bCs/>
                <w:i w:val="0"/>
                <w:color w:val="000000"/>
                <w:sz w:val="21"/>
                <w:szCs w:val="21"/>
                <w:u w:val="none"/>
                <w:lang w:val="en-US" w:eastAsia="zh-CN"/>
              </w:rPr>
              <w:t>挖</w:t>
            </w:r>
            <w:r>
              <w:rPr>
                <w:rFonts w:hint="eastAsia" w:ascii="Times New Roman" w:hAnsi="Times New Roman" w:eastAsia="宋体" w:cs="Times New Roman"/>
                <w:b/>
                <w:bCs/>
                <w:i w:val="0"/>
                <w:color w:val="000000"/>
                <w:sz w:val="21"/>
                <w:szCs w:val="21"/>
                <w:u w:val="none"/>
                <w:lang w:val="en-US" w:eastAsia="zh-CN"/>
              </w:rPr>
              <w:t>填</w:t>
            </w:r>
            <w:r>
              <w:rPr>
                <w:rFonts w:hint="default" w:ascii="Times New Roman" w:hAnsi="Times New Roman" w:eastAsia="宋体" w:cs="Times New Roman"/>
                <w:b/>
                <w:bCs/>
                <w:i w:val="0"/>
                <w:color w:val="000000"/>
                <w:sz w:val="21"/>
                <w:szCs w:val="21"/>
                <w:u w:val="none"/>
                <w:lang w:val="en-US" w:eastAsia="zh-CN"/>
              </w:rPr>
              <w:t>高度(m)</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bCs/>
                <w:i w:val="0"/>
                <w:color w:val="000000"/>
                <w:sz w:val="21"/>
                <w:szCs w:val="21"/>
                <w:u w:val="none"/>
                <w:lang w:eastAsia="zh-CN"/>
              </w:rPr>
            </w:pPr>
            <w:r>
              <w:rPr>
                <w:rFonts w:hint="default" w:ascii="Times New Roman" w:hAnsi="Times New Roman" w:eastAsia="宋体" w:cs="Times New Roman"/>
                <w:b/>
                <w:bCs/>
                <w:i w:val="0"/>
                <w:color w:val="000000"/>
                <w:sz w:val="21"/>
                <w:szCs w:val="21"/>
                <w:u w:val="none"/>
                <w:lang w:val="en-US" w:eastAsia="zh-CN"/>
              </w:rPr>
              <w:t>备注</w:t>
            </w:r>
          </w:p>
        </w:tc>
      </w:tr>
      <w:tr>
        <w:tblPrEx>
          <w:tblCellMar>
            <w:top w:w="0" w:type="dxa"/>
            <w:left w:w="0" w:type="dxa"/>
            <w:bottom w:w="0" w:type="dxa"/>
            <w:right w:w="0" w:type="dxa"/>
          </w:tblCellMar>
        </w:tblPrEx>
        <w:trPr>
          <w:trHeight w:val="399" w:hRule="atLeast"/>
          <w:jc w:val="center"/>
        </w:trPr>
        <w:tc>
          <w:tcPr>
            <w:tcW w:w="1124"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1</w:t>
            </w:r>
          </w:p>
        </w:tc>
        <w:tc>
          <w:tcPr>
            <w:tcW w:w="271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K3+55</w:t>
            </w:r>
            <w:r>
              <w:rPr>
                <w:rFonts w:hint="eastAsia" w:ascii="Times New Roman" w:hAnsi="Times New Roman" w:eastAsia="宋体" w:cs="Times New Roman"/>
                <w:b w:val="0"/>
                <w:bCs w:val="0"/>
                <w:i w:val="0"/>
                <w:color w:val="000000"/>
                <w:sz w:val="21"/>
                <w:szCs w:val="21"/>
                <w:u w:val="none"/>
                <w:lang w:val="en-US" w:eastAsia="zh-CN"/>
              </w:rPr>
              <w:t>0</w:t>
            </w:r>
            <w:r>
              <w:rPr>
                <w:rFonts w:hint="default" w:ascii="Times New Roman" w:hAnsi="Times New Roman" w:eastAsia="宋体" w:cs="Times New Roman"/>
                <w:b w:val="0"/>
                <w:bCs w:val="0"/>
                <w:i w:val="0"/>
                <w:color w:val="000000"/>
                <w:sz w:val="21"/>
                <w:szCs w:val="21"/>
                <w:u w:val="none"/>
                <w:lang w:val="en-US" w:eastAsia="zh-CN"/>
              </w:rPr>
              <w:t>〜K3+750</w:t>
            </w:r>
          </w:p>
        </w:tc>
        <w:tc>
          <w:tcPr>
            <w:tcW w:w="2287"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val="en-US" w:eastAsia="zh-CN"/>
              </w:rPr>
            </w:pPr>
            <w:r>
              <w:rPr>
                <w:rFonts w:hint="default" w:ascii="Times New Roman" w:hAnsi="Times New Roman" w:eastAsia="宋体" w:cs="Times New Roman"/>
                <w:b w:val="0"/>
                <w:bCs w:val="0"/>
                <w:i w:val="0"/>
                <w:color w:val="000000"/>
                <w:sz w:val="21"/>
                <w:szCs w:val="21"/>
                <w:u w:val="none"/>
                <w:lang w:val="en-US" w:eastAsia="zh-CN"/>
              </w:rPr>
              <w:t>麦沙大道</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eastAsia="zh-CN"/>
              </w:rPr>
            </w:pPr>
            <w:r>
              <w:rPr>
                <w:rFonts w:hint="default" w:ascii="Times New Roman" w:hAnsi="Times New Roman" w:eastAsia="宋体" w:cs="Times New Roman"/>
                <w:b w:val="0"/>
                <w:bCs w:val="0"/>
                <w:i w:val="0"/>
                <w:color w:val="000000"/>
                <w:sz w:val="21"/>
                <w:szCs w:val="21"/>
                <w:u w:val="none"/>
                <w:lang w:val="en-US" w:eastAsia="zh-CN"/>
              </w:rPr>
              <w:t>7.0 〜9.0</w:t>
            </w:r>
          </w:p>
        </w:tc>
        <w:tc>
          <w:tcPr>
            <w:tcW w:w="1988"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b w:val="0"/>
                <w:bCs w:val="0"/>
                <w:i w:val="0"/>
                <w:color w:val="000000"/>
                <w:sz w:val="21"/>
                <w:szCs w:val="21"/>
                <w:u w:val="none"/>
                <w:lang w:eastAsia="zh-CN"/>
              </w:rPr>
            </w:pPr>
            <w:r>
              <w:rPr>
                <w:rFonts w:hint="default" w:ascii="Times New Roman" w:hAnsi="Times New Roman" w:eastAsia="宋体" w:cs="Times New Roman"/>
                <w:b w:val="0"/>
                <w:bCs w:val="0"/>
                <w:i w:val="0"/>
                <w:color w:val="000000"/>
                <w:sz w:val="21"/>
                <w:szCs w:val="21"/>
                <w:u w:val="none"/>
                <w:lang w:val="en-US" w:eastAsia="zh-CN"/>
              </w:rPr>
              <w:t>挖方</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2"/>
        <w:rPr>
          <w:rFonts w:hint="eastAsia" w:ascii="Times New Roman" w:hAnsi="Times New Roman" w:eastAsia="宋体" w:cs="Times New Roman"/>
          <w:sz w:val="24"/>
          <w:szCs w:val="24"/>
          <w:lang w:val="en-US" w:eastAsia="zh-CN"/>
        </w:rPr>
      </w:pPr>
      <w:bookmarkStart w:id="22" w:name="_Toc7395"/>
      <w:r>
        <w:rPr>
          <w:rFonts w:hint="eastAsia" w:ascii="Times New Roman" w:hAnsi="Times New Roman" w:eastAsia="宋体" w:cs="Times New Roman"/>
          <w:sz w:val="24"/>
          <w:szCs w:val="24"/>
          <w:lang w:val="en-US" w:eastAsia="zh-CN"/>
        </w:rPr>
        <w:t>2.3.2主要工程内容</w:t>
      </w:r>
      <w:bookmarkEnd w:id="2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本项目主要工程内容见表2.3.2-1。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表2.3.2-1 项目主要工程内容</w:t>
      </w:r>
    </w:p>
    <w:tbl>
      <w:tblPr>
        <w:tblStyle w:val="9"/>
        <w:tblW w:w="8477" w:type="dxa"/>
        <w:jc w:val="center"/>
        <w:shd w:val="clear" w:color="auto" w:fill="auto"/>
        <w:tblLayout w:type="autofit"/>
        <w:tblCellMar>
          <w:top w:w="0" w:type="dxa"/>
          <w:left w:w="0" w:type="dxa"/>
          <w:bottom w:w="0" w:type="dxa"/>
          <w:right w:w="0" w:type="dxa"/>
        </w:tblCellMar>
      </w:tblPr>
      <w:tblGrid>
        <w:gridCol w:w="1001"/>
        <w:gridCol w:w="2451"/>
        <w:gridCol w:w="1021"/>
        <w:gridCol w:w="1618"/>
        <w:gridCol w:w="2386"/>
      </w:tblGrid>
      <w:tr>
        <w:tblPrEx>
          <w:shd w:val="clear" w:color="auto" w:fill="auto"/>
          <w:tblCellMar>
            <w:top w:w="0" w:type="dxa"/>
            <w:left w:w="0" w:type="dxa"/>
            <w:bottom w:w="0" w:type="dxa"/>
            <w:right w:w="0" w:type="dxa"/>
          </w:tblCellMar>
        </w:tblPrEx>
        <w:trPr>
          <w:trHeight w:val="497" w:hRule="atLeast"/>
          <w:jc w:val="center"/>
        </w:trPr>
        <w:tc>
          <w:tcPr>
            <w:tcW w:w="100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序号</w:t>
            </w:r>
          </w:p>
        </w:tc>
        <w:tc>
          <w:tcPr>
            <w:tcW w:w="3472"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项目</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单位</w:t>
            </w:r>
          </w:p>
        </w:tc>
        <w:tc>
          <w:tcPr>
            <w:tcW w:w="23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工程量</w:t>
            </w:r>
          </w:p>
        </w:tc>
      </w:tr>
      <w:tr>
        <w:tblPrEx>
          <w:tblCellMar>
            <w:top w:w="0" w:type="dxa"/>
            <w:left w:w="0" w:type="dxa"/>
            <w:bottom w:w="0" w:type="dxa"/>
            <w:right w:w="0" w:type="dxa"/>
          </w:tblCellMar>
        </w:tblPrEx>
        <w:trPr>
          <w:trHeight w:val="285"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土石方工程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挖方</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lang w:val="en-US"/>
              </w:rPr>
            </w:pPr>
            <w:r>
              <w:rPr>
                <w:rFonts w:hint="default" w:ascii="Times New Roman" w:hAnsi="Times New Roman" w:eastAsia="宋体" w:cs="Times New Roman"/>
                <w:b w:val="0"/>
                <w:bCs w:val="0"/>
                <w:i w:val="0"/>
                <w:color w:val="000000"/>
                <w:kern w:val="0"/>
                <w:sz w:val="21"/>
                <w:szCs w:val="21"/>
                <w:u w:val="none"/>
                <w:lang w:val="en-US" w:eastAsia="zh-CN" w:bidi="ar"/>
              </w:rPr>
              <w:t>万</w:t>
            </w:r>
            <w:r>
              <w:rPr>
                <w:rStyle w:val="20"/>
                <w:rFonts w:hint="eastAsia" w:ascii="Times New Roman" w:hAnsi="Times New Roman" w:eastAsia="宋体" w:cs="Times New Roman"/>
                <w:b w:val="0"/>
                <w:bCs w:val="0"/>
                <w:sz w:val="21"/>
                <w:szCs w:val="21"/>
                <w:lang w:val="en-US" w:eastAsia="zh-CN" w:bidi="ar"/>
              </w:rPr>
              <w:t>m</w:t>
            </w:r>
            <w:r>
              <w:rPr>
                <w:rStyle w:val="20"/>
                <w:rFonts w:hint="eastAsia" w:ascii="Times New Roman" w:hAnsi="Times New Roman" w:eastAsia="宋体" w:cs="Times New Roman"/>
                <w:b w:val="0"/>
                <w:bCs w:val="0"/>
                <w:sz w:val="21"/>
                <w:szCs w:val="21"/>
                <w:vertAlign w:val="superscript"/>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64.55</w:t>
            </w:r>
          </w:p>
        </w:tc>
      </w:tr>
      <w:tr>
        <w:tblPrEx>
          <w:tblCellMar>
            <w:top w:w="0" w:type="dxa"/>
            <w:left w:w="0" w:type="dxa"/>
            <w:bottom w:w="0" w:type="dxa"/>
            <w:right w:w="0" w:type="dxa"/>
          </w:tblCellMar>
        </w:tblPrEx>
        <w:trPr>
          <w:trHeight w:val="285"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填方</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58.68</w:t>
            </w:r>
          </w:p>
        </w:tc>
      </w:tr>
      <w:tr>
        <w:tblPrEx>
          <w:tblCellMar>
            <w:top w:w="0" w:type="dxa"/>
            <w:left w:w="0" w:type="dxa"/>
            <w:bottom w:w="0" w:type="dxa"/>
            <w:right w:w="0" w:type="dxa"/>
          </w:tblCellMar>
        </w:tblPrEx>
        <w:trPr>
          <w:trHeight w:val="285"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弃方</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5.87</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道路工程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387860.56</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3</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路面工程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283768.52</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人行道部分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84092.04</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坡面防护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27000.00</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6</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挖方高边坡支护（高度大于</w:t>
            </w:r>
            <w:r>
              <w:rPr>
                <w:rStyle w:val="20"/>
                <w:rFonts w:hint="default" w:ascii="Times New Roman" w:hAnsi="Times New Roman" w:eastAsia="宋体" w:cs="Times New Roman"/>
                <w:b w:val="0"/>
                <w:bCs w:val="0"/>
                <w:sz w:val="21"/>
                <w:szCs w:val="21"/>
                <w:lang w:val="en-US" w:eastAsia="zh-CN" w:bidi="ar"/>
              </w:rPr>
              <w:t>6m）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20000.00</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7</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一般挖方边坡支护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19200.00</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8</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给水工程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km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7.01</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9</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排水工程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km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7.01</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10</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燃气工程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km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7.01</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11</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桥梁工程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12</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人行过街天桥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13</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局部河道改造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50.00</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14</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行道树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6864.0</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15</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绿化带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62800.00</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16</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路灯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1090.0</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17</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交通工程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km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7.01</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18</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消防工程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116</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19</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环卫设施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176</w:t>
            </w:r>
          </w:p>
        </w:tc>
      </w:tr>
      <w:tr>
        <w:tblPrEx>
          <w:tblCellMar>
            <w:top w:w="0" w:type="dxa"/>
            <w:left w:w="0" w:type="dxa"/>
            <w:bottom w:w="0" w:type="dxa"/>
            <w:right w:w="0"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20</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占地面积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Style w:val="20"/>
                <w:rFonts w:hint="default" w:ascii="Times New Roman" w:hAnsi="Times New Roman" w:eastAsia="宋体" w:cs="Times New Roman"/>
                <w:b w:val="0"/>
                <w:bCs w:val="0"/>
                <w:sz w:val="21"/>
                <w:szCs w:val="21"/>
                <w:lang w:val="en-US" w:eastAsia="zh-CN" w:bidi="ar"/>
              </w:rPr>
              <w:t>hm</w:t>
            </w:r>
            <w:r>
              <w:rPr>
                <w:rFonts w:hint="default" w:ascii="Times New Roman" w:hAnsi="Times New Roman" w:eastAsia="宋体" w:cs="Times New Roman"/>
                <w:b w:val="0"/>
                <w:bCs w:val="0"/>
                <w:i w:val="0"/>
                <w:color w:val="000000"/>
                <w:kern w:val="0"/>
                <w:sz w:val="21"/>
                <w:szCs w:val="21"/>
                <w:u w:val="none"/>
                <w:vertAlign w:val="superscript"/>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48.08</w:t>
            </w:r>
          </w:p>
        </w:tc>
      </w:tr>
    </w:tbl>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路面工程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面结构采用沥青路面：62cm=5cmAC-13沥青吐(I型改性沥青)+5cmAC-20沥青杜(I型)+玻璃纤维格栅一层((BJG80×80，搭接系数1.05)+7cmAC-30沥青9(Ⅱ型)+30cm5%水泥稳定碎石+15cm级配碎石，在面层与面层之间、面层与基层之间分别设置粘层、透层沥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人行道结构：5cm人行道彩砖；2cml:3水泥砂浆；10cmC10素混凝土；10cm填隙碎石，总厚27cm。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横断面设计：60m=6.0m人行道+7.0m慢车道+2.0m绿化带+12.0m机动车道+6.0m绿化带+12.0m机动车道+2.0m绿化带+7.0m慢车道+6.0m人行道，详见平面图</w:t>
      </w:r>
      <w:r>
        <w:rPr>
          <w:rFonts w:hint="eastAsia" w:ascii="Times New Roman" w:hAnsi="Times New Roman" w:eastAsia="宋体" w:cs="Times New Roman"/>
          <w:sz w:val="24"/>
          <w:szCs w:val="24"/>
          <w:lang w:val="en-US" w:eastAsia="zh-CN"/>
        </w:rPr>
        <w:t>2.3.2-1</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59705" cy="1238885"/>
            <wp:effectExtent l="0" t="0" r="17145" b="18415"/>
            <wp:docPr id="57" name="图片 57" descr="IMG_20200728_18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00728_181425"/>
                    <pic:cNvPicPr>
                      <a:picLocks noChangeAspect="1"/>
                    </pic:cNvPicPr>
                  </pic:nvPicPr>
                  <pic:blipFill>
                    <a:blip r:embed="rId28"/>
                    <a:stretch>
                      <a:fillRect/>
                    </a:stretch>
                  </pic:blipFill>
                  <pic:spPr>
                    <a:xfrm>
                      <a:off x="0" y="0"/>
                      <a:ext cx="5259705" cy="123888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图</w:t>
      </w:r>
      <w:r>
        <w:rPr>
          <w:rFonts w:hint="eastAsia" w:ascii="Times New Roman" w:hAnsi="Times New Roman" w:eastAsia="宋体" w:cs="Times New Roman"/>
          <w:sz w:val="24"/>
          <w:szCs w:val="24"/>
          <w:lang w:val="en-US" w:eastAsia="zh-CN"/>
        </w:rPr>
        <w:t>2.3.2-1 项目横断面布置图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（2）路基工程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堤边坡坡率根据填料性质，边坡高度和基底地质条件同排水及防护工程综合考虑确定；一般填方路基，当路堤高度小于等于12m时，边坡率1：1.5；当路堤高度大于12m时，采用台阶式边坡，从上至下每8m分一级，级与级中间设2m宽的平台，边坡率均采用1：1.5。坡脚设置护坡道，宽度2.0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路堑方案主要根据岩土性质、水文条件、边坡高度等结合路堑排水及防护工程经综合考虑后进行设计</w:t>
      </w:r>
      <w:r>
        <w:rPr>
          <w:rFonts w:hint="eastAsia" w:ascii="Times New Roman" w:hAnsi="Times New Roman" w:eastAsia="宋体" w:cs="Times New Roman"/>
          <w:sz w:val="24"/>
          <w:szCs w:val="24"/>
          <w:lang w:val="en-US" w:eastAsia="zh-CN"/>
        </w:rPr>
        <w:t>并实施</w:t>
      </w:r>
      <w:r>
        <w:rPr>
          <w:rFonts w:hint="default" w:ascii="Times New Roman" w:hAnsi="Times New Roman" w:eastAsia="宋体" w:cs="Times New Roman"/>
          <w:sz w:val="24"/>
          <w:szCs w:val="24"/>
          <w:lang w:val="en-US" w:eastAsia="zh-CN"/>
        </w:rPr>
        <w:t>。采用台阶式边坡，边坡平台宽2.0m，每级高度8m，边坡坡率一般按以下原则确定：弱～微风化岩层边坡坡率1：0.35～0.5，强风化岩层边坡率1：0.5～0.75，全风化岩层及土质边坡坡率1：1～1：1.25。坡脚设置碎落台，宽1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（3）交叉工程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本道路交叉口主要有：起点与</w:t>
      </w:r>
      <w:r>
        <w:rPr>
          <w:rFonts w:hint="eastAsia" w:ascii="Times New Roman" w:hAnsi="Times New Roman" w:eastAsia="宋体" w:cs="Times New Roman"/>
          <w:sz w:val="24"/>
          <w:szCs w:val="24"/>
          <w:lang w:val="en-US" w:eastAsia="zh-CN"/>
        </w:rPr>
        <w:t>白修线</w:t>
      </w:r>
      <w:r>
        <w:rPr>
          <w:rFonts w:hint="default" w:ascii="Times New Roman" w:hAnsi="Times New Roman" w:eastAsia="宋体" w:cs="Times New Roman"/>
          <w:sz w:val="24"/>
          <w:szCs w:val="24"/>
          <w:lang w:val="en-US" w:eastAsia="zh-CN"/>
        </w:rPr>
        <w:t>相交，向</w:t>
      </w:r>
      <w:r>
        <w:rPr>
          <w:rFonts w:hint="eastAsia" w:ascii="Times New Roman" w:hAnsi="Times New Roman" w:eastAsia="宋体" w:cs="Times New Roman"/>
          <w:sz w:val="24"/>
          <w:szCs w:val="24"/>
          <w:lang w:val="en-US" w:eastAsia="zh-CN"/>
        </w:rPr>
        <w:t>东</w:t>
      </w:r>
      <w:r>
        <w:rPr>
          <w:rFonts w:hint="default" w:ascii="Times New Roman" w:hAnsi="Times New Roman" w:eastAsia="宋体" w:cs="Times New Roman"/>
          <w:sz w:val="24"/>
          <w:szCs w:val="24"/>
          <w:lang w:val="en-US" w:eastAsia="zh-CN"/>
        </w:rPr>
        <w:t>分别与11</w:t>
      </w:r>
      <w:r>
        <w:rPr>
          <w:rFonts w:hint="eastAsia" w:ascii="Times New Roman" w:hAnsi="Times New Roman" w:eastAsia="宋体" w:cs="Times New Roman"/>
          <w:sz w:val="24"/>
          <w:szCs w:val="24"/>
          <w:lang w:val="en-US" w:eastAsia="zh-CN"/>
        </w:rPr>
        <w:t>条</w:t>
      </w:r>
      <w:r>
        <w:rPr>
          <w:rFonts w:hint="default" w:ascii="Times New Roman" w:hAnsi="Times New Roman" w:eastAsia="宋体" w:cs="Times New Roman"/>
          <w:sz w:val="24"/>
          <w:szCs w:val="24"/>
          <w:lang w:val="en-US" w:eastAsia="zh-CN"/>
        </w:rPr>
        <w:t>道路相交，在终点与210国道和贵遵高速路相交。除下穿贵遵高速外，其余均为红绿灯控制平交口。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（4）桥梁工程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表2.3.2-2 项目桥梁工程</w:t>
      </w:r>
    </w:p>
    <w:tbl>
      <w:tblPr>
        <w:tblStyle w:val="9"/>
        <w:tblW w:w="89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1"/>
        <w:gridCol w:w="1727"/>
        <w:gridCol w:w="1275"/>
        <w:gridCol w:w="1260"/>
        <w:gridCol w:w="2231"/>
        <w:gridCol w:w="15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6"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序号</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名称</w:t>
            </w:r>
          </w:p>
        </w:tc>
        <w:tc>
          <w:tcPr>
            <w:tcW w:w="12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b/>
                <w:kern w:val="2"/>
                <w:sz w:val="21"/>
                <w:szCs w:val="24"/>
                <w:lang w:val="zh-CN" w:eastAsia="zh-CN" w:bidi="zh-CN"/>
              </w:rPr>
            </w:pPr>
            <w:r>
              <w:rPr>
                <w:rFonts w:hint="eastAsia" w:ascii="宋体" w:eastAsia="宋体"/>
                <w:b/>
                <w:sz w:val="21"/>
              </w:rPr>
              <w:t>桩号</w:t>
            </w:r>
          </w:p>
        </w:tc>
        <w:tc>
          <w:tcPr>
            <w:tcW w:w="126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桥面长度</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rPr>
            </w:pPr>
            <w:r>
              <w:rPr>
                <w:rFonts w:hint="eastAsia" w:ascii="宋体" w:eastAsia="宋体"/>
                <w:b/>
                <w:sz w:val="21"/>
              </w:rPr>
              <w:t>（</w:t>
            </w:r>
            <w:r>
              <w:rPr>
                <w:b/>
                <w:sz w:val="21"/>
              </w:rPr>
              <w:t>m</w:t>
            </w:r>
            <w:r>
              <w:rPr>
                <w:rFonts w:hint="eastAsia" w:ascii="宋体" w:eastAsia="宋体"/>
                <w:b/>
                <w:sz w:val="21"/>
              </w:rPr>
              <w:t>）</w:t>
            </w:r>
          </w:p>
        </w:tc>
        <w:tc>
          <w:tcPr>
            <w:tcW w:w="223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宋体" w:eastAsia="宋体"/>
                <w:b/>
                <w:sz w:val="21"/>
                <w:lang w:val="en-US" w:eastAsia="zh-CN"/>
              </w:rPr>
            </w:pPr>
            <w:r>
              <w:rPr>
                <w:rFonts w:hint="eastAsia" w:ascii="宋体" w:eastAsia="宋体"/>
                <w:b/>
                <w:sz w:val="21"/>
                <w:lang w:val="en-US" w:eastAsia="zh-CN"/>
              </w:rPr>
              <w:t>结构形式</w:t>
            </w:r>
          </w:p>
        </w:tc>
        <w:tc>
          <w:tcPr>
            <w:tcW w:w="152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b/>
                <w:sz w:val="21"/>
                <w:lang w:eastAsia="zh-CN"/>
              </w:rPr>
            </w:pPr>
            <w:r>
              <w:rPr>
                <w:rFonts w:hint="eastAsia" w:ascii="宋体" w:eastAsia="宋体"/>
                <w:b/>
                <w:sz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1</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kern w:val="2"/>
                <w:sz w:val="21"/>
                <w:szCs w:val="24"/>
                <w:lang w:val="zh-CN" w:eastAsia="zh-CN" w:bidi="zh-CN"/>
              </w:rPr>
            </w:pPr>
            <w:r>
              <w:rPr>
                <w:rFonts w:hint="eastAsia" w:ascii="宋体" w:eastAsia="宋体"/>
                <w:sz w:val="21"/>
                <w:lang w:eastAsia="zh-CN"/>
              </w:rPr>
              <w:t>高山桥</w:t>
            </w:r>
          </w:p>
        </w:tc>
        <w:tc>
          <w:tcPr>
            <w:tcW w:w="12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4"/>
                <w:lang w:val="en-US" w:eastAsia="zh-CN" w:bidi="zh-CN"/>
              </w:rPr>
            </w:pPr>
            <w:r>
              <w:rPr>
                <w:sz w:val="21"/>
              </w:rPr>
              <w:t>K</w:t>
            </w:r>
            <w:r>
              <w:rPr>
                <w:rFonts w:hint="eastAsia" w:eastAsia="宋体"/>
                <w:sz w:val="21"/>
                <w:lang w:val="en-US" w:eastAsia="zh-CN"/>
              </w:rPr>
              <w:t>0</w:t>
            </w:r>
            <w:r>
              <w:rPr>
                <w:sz w:val="21"/>
              </w:rPr>
              <w:t>+</w:t>
            </w:r>
            <w:r>
              <w:rPr>
                <w:rFonts w:hint="eastAsia" w:eastAsia="宋体"/>
                <w:sz w:val="21"/>
                <w:lang w:val="en-US" w:eastAsia="zh-CN"/>
              </w:rPr>
              <w:t>325</w:t>
            </w:r>
          </w:p>
        </w:tc>
        <w:tc>
          <w:tcPr>
            <w:tcW w:w="126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21.21</w:t>
            </w:r>
          </w:p>
        </w:tc>
        <w:tc>
          <w:tcPr>
            <w:tcW w:w="223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预应力砼简支空心板</w:t>
            </w:r>
          </w:p>
        </w:tc>
        <w:tc>
          <w:tcPr>
            <w:tcW w:w="152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lang w:eastAsia="zh-CN"/>
              </w:rPr>
            </w:pPr>
            <w:r>
              <w:rPr>
                <w:rFonts w:hint="eastAsia" w:ascii="宋体" w:eastAsia="宋体"/>
                <w:sz w:val="21"/>
                <w:lang w:eastAsia="zh-CN"/>
              </w:rPr>
              <w:t>所有跨河桥梁均未设置桥墩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1"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2</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4"/>
                <w:lang w:val="zh-CN" w:eastAsia="zh-CN" w:bidi="zh-CN"/>
              </w:rPr>
            </w:pPr>
            <w:r>
              <w:rPr>
                <w:rFonts w:hint="eastAsia" w:ascii="宋体" w:eastAsia="宋体"/>
                <w:sz w:val="21"/>
                <w:lang w:eastAsia="zh-CN"/>
              </w:rPr>
              <w:t>麦架河桥</w:t>
            </w:r>
            <w:r>
              <w:rPr>
                <w:rFonts w:hint="eastAsia" w:ascii="宋体" w:hAnsi="宋体" w:eastAsia="宋体" w:cs="宋体"/>
                <w:sz w:val="21"/>
                <w:lang w:eastAsia="zh-CN"/>
              </w:rPr>
              <w:t>Ⅰ</w:t>
            </w:r>
          </w:p>
        </w:tc>
        <w:tc>
          <w:tcPr>
            <w:tcW w:w="12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4"/>
                <w:lang w:val="en-US" w:eastAsia="zh-CN" w:bidi="zh-CN"/>
              </w:rPr>
            </w:pPr>
            <w:r>
              <w:rPr>
                <w:sz w:val="21"/>
              </w:rPr>
              <w:t>K</w:t>
            </w:r>
            <w:r>
              <w:rPr>
                <w:rFonts w:hint="eastAsia" w:eastAsia="宋体"/>
                <w:sz w:val="21"/>
                <w:lang w:val="en-US" w:eastAsia="zh-CN"/>
              </w:rPr>
              <w:t>2</w:t>
            </w:r>
            <w:r>
              <w:rPr>
                <w:sz w:val="21"/>
              </w:rPr>
              <w:t>+</w:t>
            </w:r>
            <w:r>
              <w:rPr>
                <w:rFonts w:hint="eastAsia" w:eastAsia="宋体"/>
                <w:sz w:val="21"/>
                <w:lang w:val="en-US" w:eastAsia="zh-CN"/>
              </w:rPr>
              <w:t>010</w:t>
            </w:r>
          </w:p>
        </w:tc>
        <w:tc>
          <w:tcPr>
            <w:tcW w:w="126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rFonts w:hint="eastAsia" w:eastAsia="宋体"/>
                <w:sz w:val="21"/>
                <w:lang w:val="en-US" w:eastAsia="zh-CN"/>
              </w:rPr>
              <w:t>36.10</w:t>
            </w:r>
          </w:p>
        </w:tc>
        <w:tc>
          <w:tcPr>
            <w:tcW w:w="223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简支T梁结构</w:t>
            </w:r>
          </w:p>
        </w:tc>
        <w:tc>
          <w:tcPr>
            <w:tcW w:w="152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3</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Times New Roman" w:eastAsia="宋体" w:cs="Times New Roman"/>
                <w:kern w:val="2"/>
                <w:sz w:val="21"/>
                <w:szCs w:val="24"/>
                <w:lang w:val="zh-CN" w:eastAsia="zh-CN" w:bidi="zh-CN"/>
              </w:rPr>
            </w:pPr>
            <w:r>
              <w:rPr>
                <w:rFonts w:hint="eastAsia" w:ascii="宋体" w:eastAsia="宋体"/>
                <w:sz w:val="21"/>
                <w:lang w:eastAsia="zh-CN"/>
              </w:rPr>
              <w:t>麦架河支流桥</w:t>
            </w:r>
          </w:p>
        </w:tc>
        <w:tc>
          <w:tcPr>
            <w:tcW w:w="12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4"/>
                <w:lang w:val="en-US" w:eastAsia="zh-CN" w:bidi="zh-CN"/>
              </w:rPr>
            </w:pPr>
            <w:r>
              <w:rPr>
                <w:sz w:val="21"/>
              </w:rPr>
              <w:t>K</w:t>
            </w:r>
            <w:r>
              <w:rPr>
                <w:rFonts w:hint="eastAsia" w:eastAsia="宋体"/>
                <w:sz w:val="21"/>
                <w:lang w:val="en-US" w:eastAsia="zh-CN"/>
              </w:rPr>
              <w:t>2</w:t>
            </w:r>
            <w:r>
              <w:rPr>
                <w:sz w:val="21"/>
              </w:rPr>
              <w:t>+</w:t>
            </w:r>
            <w:r>
              <w:rPr>
                <w:rFonts w:hint="eastAsia" w:eastAsia="宋体"/>
                <w:sz w:val="21"/>
                <w:lang w:val="en-US" w:eastAsia="zh-CN"/>
              </w:rPr>
              <w:t>633</w:t>
            </w:r>
          </w:p>
        </w:tc>
        <w:tc>
          <w:tcPr>
            <w:tcW w:w="126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rFonts w:hint="eastAsia" w:eastAsia="宋体"/>
                <w:sz w:val="21"/>
                <w:lang w:val="en-US" w:eastAsia="zh-CN"/>
              </w:rPr>
              <w:t>10.00</w:t>
            </w:r>
          </w:p>
        </w:tc>
        <w:tc>
          <w:tcPr>
            <w:tcW w:w="223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预应力砼简支空心板</w:t>
            </w:r>
          </w:p>
        </w:tc>
        <w:tc>
          <w:tcPr>
            <w:tcW w:w="152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rPr>
            </w:pPr>
            <w:r>
              <w:rPr>
                <w:w w:val="99"/>
                <w:sz w:val="21"/>
              </w:rPr>
              <w:t>4</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4"/>
                <w:lang w:val="zh-CN" w:eastAsia="zh-CN" w:bidi="zh-CN"/>
              </w:rPr>
            </w:pPr>
            <w:r>
              <w:rPr>
                <w:rFonts w:hint="eastAsia" w:ascii="宋体" w:eastAsia="宋体"/>
                <w:sz w:val="21"/>
                <w:lang w:eastAsia="zh-CN"/>
              </w:rPr>
              <w:t>麦架河桥</w:t>
            </w:r>
            <w:r>
              <w:rPr>
                <w:rFonts w:hint="eastAsia" w:ascii="宋体" w:hAnsi="宋体" w:eastAsia="宋体" w:cs="宋体"/>
                <w:sz w:val="21"/>
                <w:lang w:eastAsia="zh-CN"/>
              </w:rPr>
              <w:t>Ⅱ</w:t>
            </w:r>
          </w:p>
        </w:tc>
        <w:tc>
          <w:tcPr>
            <w:tcW w:w="12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4"/>
                <w:lang w:val="zh-CN" w:eastAsia="zh-CN" w:bidi="zh-CN"/>
              </w:rPr>
            </w:pPr>
            <w:r>
              <w:rPr>
                <w:sz w:val="21"/>
              </w:rPr>
              <w:t>K</w:t>
            </w:r>
            <w:r>
              <w:rPr>
                <w:rFonts w:hint="eastAsia" w:eastAsia="宋体"/>
                <w:sz w:val="21"/>
                <w:lang w:val="en-US" w:eastAsia="zh-CN"/>
              </w:rPr>
              <w:t>4</w:t>
            </w:r>
            <w:r>
              <w:rPr>
                <w:sz w:val="21"/>
              </w:rPr>
              <w:t>+</w:t>
            </w:r>
            <w:r>
              <w:rPr>
                <w:rFonts w:hint="eastAsia" w:eastAsia="宋体"/>
                <w:sz w:val="21"/>
                <w:lang w:val="en-US" w:eastAsia="zh-CN"/>
              </w:rPr>
              <w:t>490</w:t>
            </w:r>
          </w:p>
        </w:tc>
        <w:tc>
          <w:tcPr>
            <w:tcW w:w="126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36.68</w:t>
            </w:r>
          </w:p>
        </w:tc>
        <w:tc>
          <w:tcPr>
            <w:tcW w:w="223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sz w:val="21"/>
                <w:lang w:val="en-US" w:eastAsia="zh-CN"/>
              </w:rPr>
            </w:pPr>
            <w:r>
              <w:rPr>
                <w:rFonts w:hint="eastAsia" w:eastAsia="宋体"/>
                <w:sz w:val="21"/>
                <w:lang w:val="en-US" w:eastAsia="zh-CN"/>
              </w:rPr>
              <w:t>预应力砼简支空心板</w:t>
            </w:r>
          </w:p>
        </w:tc>
        <w:tc>
          <w:tcPr>
            <w:tcW w:w="152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eastAsia="宋体"/>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6" w:hRule="atLeast"/>
          <w:jc w:val="center"/>
        </w:trPr>
        <w:tc>
          <w:tcPr>
            <w:tcW w:w="98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宋体"/>
                <w:w w:val="99"/>
                <w:sz w:val="21"/>
                <w:lang w:val="en-US" w:eastAsia="zh-CN"/>
              </w:rPr>
            </w:pPr>
            <w:r>
              <w:rPr>
                <w:rFonts w:hint="eastAsia" w:eastAsia="宋体"/>
                <w:w w:val="99"/>
                <w:sz w:val="21"/>
                <w:lang w:val="en-US" w:eastAsia="zh-CN"/>
              </w:rPr>
              <w:t>5</w:t>
            </w:r>
          </w:p>
        </w:tc>
        <w:tc>
          <w:tcPr>
            <w:tcW w:w="1727"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eastAsia="宋体"/>
                <w:sz w:val="21"/>
                <w:lang w:eastAsia="zh-CN"/>
              </w:rPr>
            </w:pPr>
            <w:r>
              <w:rPr>
                <w:rFonts w:hint="eastAsia" w:ascii="宋体" w:eastAsia="宋体"/>
                <w:sz w:val="21"/>
                <w:lang w:eastAsia="zh-CN"/>
              </w:rPr>
              <w:t>下穿贵遵高速</w:t>
            </w:r>
          </w:p>
        </w:tc>
        <w:tc>
          <w:tcPr>
            <w:tcW w:w="127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宋体" w:eastAsia="宋体"/>
                <w:sz w:val="21"/>
                <w:lang w:val="en-US" w:eastAsia="zh-CN"/>
              </w:rPr>
            </w:pPr>
            <w:r>
              <w:rPr>
                <w:rFonts w:hint="default" w:ascii="Times New Roman" w:hAnsi="Times New Roman" w:eastAsia="宋体" w:cs="Times New Roman"/>
                <w:sz w:val="21"/>
                <w:lang w:val="en-US" w:eastAsia="zh-CN"/>
              </w:rPr>
              <w:t>K6+865</w:t>
            </w:r>
          </w:p>
        </w:tc>
        <w:tc>
          <w:tcPr>
            <w:tcW w:w="126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en-US" w:eastAsia="zh-CN"/>
              </w:rPr>
              <w:t>65.00</w:t>
            </w:r>
          </w:p>
        </w:tc>
        <w:tc>
          <w:tcPr>
            <w:tcW w:w="2231"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lang w:eastAsia="zh-CN"/>
              </w:rPr>
            </w:pPr>
            <w:r>
              <w:rPr>
                <w:rFonts w:hint="eastAsia" w:eastAsia="宋体"/>
                <w:sz w:val="21"/>
                <w:lang w:val="en-US" w:eastAsia="zh-CN"/>
              </w:rPr>
              <w:t>预应力混凝土连续箱梁</w:t>
            </w:r>
          </w:p>
        </w:tc>
        <w:tc>
          <w:tcPr>
            <w:tcW w:w="152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eastAsia="宋体"/>
                <w:sz w:val="21"/>
                <w:lang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（5）沿线设施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本项目沿线建设有完善的排水系统，主要由边沟、排水沟、截水沟、检查井等组成，能有效截留本项目产生的污水，防止其对环境造成更大的影响。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本项目设置的交通设施包括警告标志、禁令标志、指示标志、导向标志、交通标线、防护设施等。在人行道及道路中间绿化带设置有双臂路灯，设置间距约为30米，能对道路进行有效照明。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本项目在人行道种植有行道树，道路中间设有绿化带。沿线设置护栏、标志牌、信息板、环卫设施等。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未设置专门的去料场，所需砂石、沥青等全部购买，设有1处永久弃土场以及4处临时弃土场，永久弃土场属于洼地，现已经过平整，规划为园区建设项目用地，4处临时弃土场现已恢复生态原貌或用于项目建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23" w:name="_Toc13745"/>
      <w:r>
        <w:rPr>
          <w:rFonts w:hint="eastAsia" w:ascii="Times New Roman" w:hAnsi="Times New Roman" w:eastAsia="宋体" w:cs="Times New Roman"/>
          <w:sz w:val="24"/>
          <w:szCs w:val="24"/>
          <w:lang w:val="en-US" w:eastAsia="zh-CN"/>
        </w:rPr>
        <w:t>2.3.3项目工程量</w:t>
      </w:r>
      <w:bookmarkEnd w:id="2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本项目建设道路3878.61hm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，土石方量645500m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，建设桥梁5座，永久性占地48.08hm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（其中8.54</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为基本农田）。拆迁房屋3000m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，被拆迁245户约1000余人，企业5家。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宋体" w:cs="Times New Roman"/>
          <w:sz w:val="24"/>
          <w:szCs w:val="24"/>
          <w:lang w:val="en-US" w:eastAsia="zh-CN"/>
        </w:rPr>
      </w:pPr>
      <w:bookmarkStart w:id="24" w:name="_Toc19835"/>
      <w:r>
        <w:rPr>
          <w:rFonts w:hint="eastAsia" w:ascii="Times New Roman" w:hAnsi="Times New Roman" w:eastAsia="宋体" w:cs="Times New Roman"/>
          <w:sz w:val="24"/>
          <w:szCs w:val="24"/>
          <w:lang w:val="en-US" w:eastAsia="zh-CN"/>
        </w:rPr>
        <w:t>2.3.4项目变更情况</w:t>
      </w:r>
      <w:bookmarkEnd w:id="2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本项目基本按照环评报告书所列内容进行施工建设，存在变更为项目终点与210国道、盐沙大道连接由初始设计的平交改为立交桥式连接。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宋体" w:cs="Times New Roman"/>
          <w:sz w:val="24"/>
          <w:szCs w:val="24"/>
          <w:lang w:val="en-US" w:eastAsia="zh-CN"/>
        </w:rPr>
      </w:pPr>
      <w:bookmarkStart w:id="25" w:name="_Toc14188"/>
      <w:r>
        <w:rPr>
          <w:rFonts w:hint="eastAsia" w:ascii="Times New Roman" w:hAnsi="Times New Roman" w:eastAsia="宋体" w:cs="Times New Roman"/>
          <w:sz w:val="24"/>
          <w:szCs w:val="24"/>
          <w:lang w:val="en-US" w:eastAsia="zh-CN"/>
        </w:rPr>
        <w:t>2.4交通量</w:t>
      </w:r>
      <w:bookmarkEnd w:id="2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环评预测交通量见表2.4-1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 xml:space="preserve">表2.4-1预测交通量  </w:t>
      </w:r>
      <w:r>
        <w:rPr>
          <w:rFonts w:hint="eastAsia" w:ascii="Times New Roman" w:hAnsi="Times New Roman" w:eastAsia="宋体" w:cs="Times New Roman"/>
          <w:sz w:val="21"/>
          <w:szCs w:val="21"/>
          <w:lang w:val="en-US" w:eastAsia="zh-CN"/>
        </w:rPr>
        <w:t>单位：辆/h（标准小客车）</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道路名称</w:t>
            </w:r>
          </w:p>
        </w:tc>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近期</w:t>
            </w:r>
          </w:p>
        </w:tc>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中期</w:t>
            </w:r>
          </w:p>
        </w:tc>
        <w:tc>
          <w:tcPr>
            <w:tcW w:w="17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晚期</w:t>
            </w:r>
          </w:p>
        </w:tc>
        <w:tc>
          <w:tcPr>
            <w:tcW w:w="17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2011年</w:t>
            </w:r>
          </w:p>
        </w:tc>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2015年</w:t>
            </w:r>
          </w:p>
        </w:tc>
        <w:tc>
          <w:tcPr>
            <w:tcW w:w="17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2029年</w:t>
            </w:r>
          </w:p>
        </w:tc>
        <w:tc>
          <w:tcPr>
            <w:tcW w:w="17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麦沙大道</w:t>
            </w:r>
          </w:p>
        </w:tc>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1020</w:t>
            </w:r>
          </w:p>
        </w:tc>
        <w:tc>
          <w:tcPr>
            <w:tcW w:w="170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1520</w:t>
            </w:r>
          </w:p>
        </w:tc>
        <w:tc>
          <w:tcPr>
            <w:tcW w:w="17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2850</w:t>
            </w:r>
          </w:p>
        </w:tc>
        <w:tc>
          <w:tcPr>
            <w:tcW w:w="17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vertAlign w:val="baseli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根据2020年6月贵州明德工程咨询有限公司检测报告显示，本项目的实际车流量约为729辆/h（标准小客车），达到近期预计车流量的71.5%、中期预计车流量的48.0%、远期预计车流量的25.6%。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outlineLvl w:val="1"/>
        <w:rPr>
          <w:rFonts w:hint="default" w:ascii="Times New Roman" w:hAnsi="Times New Roman" w:eastAsia="宋体" w:cs="Times New Roman"/>
          <w:sz w:val="24"/>
          <w:szCs w:val="24"/>
          <w:lang w:val="en-US" w:eastAsia="zh-CN"/>
        </w:rPr>
      </w:pPr>
      <w:bookmarkStart w:id="26" w:name="_Toc7642"/>
      <w:r>
        <w:rPr>
          <w:rFonts w:hint="eastAsia" w:ascii="Times New Roman" w:hAnsi="Times New Roman" w:eastAsia="宋体" w:cs="Times New Roman"/>
          <w:sz w:val="24"/>
          <w:szCs w:val="24"/>
          <w:lang w:val="en-US" w:eastAsia="zh-CN"/>
        </w:rPr>
        <w:t>2.5 环保投资</w:t>
      </w:r>
      <w:bookmarkEnd w:id="2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本项目直接环保投资719.07万元（不计兼顾环保工程投资及运营期环保费用），项目总投资91813.51万元，总环保投资2629.78万元，占项目总投资的2.86%。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表2.5-1直接环保投资一览表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2287"/>
        <w:gridCol w:w="1659"/>
        <w:gridCol w:w="1873"/>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环保措施</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数量</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环评估算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实际投资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跨河桥梁污水系统</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3处</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30</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固体废物收集处理</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180个</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17.6</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声环境保护</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沿线居民及沙文中学</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129.88</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主体工程中具有水土保持功能的设施</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60.79</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w:t>
            </w:r>
          </w:p>
        </w:tc>
        <w:tc>
          <w:tcPr>
            <w:tcW w:w="22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新增水土保持</w:t>
            </w:r>
          </w:p>
        </w:tc>
        <w:tc>
          <w:tcPr>
            <w:tcW w:w="165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480.8</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78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w:t>
            </w:r>
          </w:p>
        </w:tc>
        <w:tc>
          <w:tcPr>
            <w:tcW w:w="3946"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合计</w:t>
            </w:r>
          </w:p>
        </w:tc>
        <w:tc>
          <w:tcPr>
            <w:tcW w:w="187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719.07</w:t>
            </w:r>
          </w:p>
        </w:tc>
        <w:tc>
          <w:tcPr>
            <w:tcW w:w="187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721.58</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表2.5-2兼顾环保工程投资一览表</w:t>
      </w:r>
    </w:p>
    <w:tbl>
      <w:tblPr>
        <w:tblStyle w:val="10"/>
        <w:tblW w:w="84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1742"/>
        <w:gridCol w:w="1412"/>
        <w:gridCol w:w="1617"/>
        <w:gridCol w:w="1452"/>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环保措施</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项目</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数量</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环评预估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实际投资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78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174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植物措施</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植树种草</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261m</w:t>
            </w:r>
            <w:r>
              <w:rPr>
                <w:rFonts w:hint="eastAsia" w:ascii="Times New Roman" w:hAnsi="Times New Roman" w:eastAsia="宋体" w:cs="Times New Roman"/>
                <w:sz w:val="21"/>
                <w:szCs w:val="21"/>
                <w:vertAlign w:val="superscript"/>
                <w:lang w:val="en-US" w:eastAsia="zh-CN"/>
              </w:rPr>
              <w:t>2</w:t>
            </w:r>
          </w:p>
        </w:tc>
        <w:tc>
          <w:tcPr>
            <w:tcW w:w="145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18.16</w:t>
            </w:r>
          </w:p>
        </w:tc>
        <w:tc>
          <w:tcPr>
            <w:tcW w:w="1453"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78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pPr>
          </w:p>
        </w:tc>
        <w:tc>
          <w:tcPr>
            <w:tcW w:w="174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pP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行道树</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1753棵</w:t>
            </w:r>
          </w:p>
        </w:tc>
        <w:tc>
          <w:tcPr>
            <w:tcW w:w="145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p>
        </w:tc>
        <w:tc>
          <w:tcPr>
            <w:tcW w:w="145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排水工程</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截、排水沟</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7.01km</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780.6</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780.60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土地、青苗补偿</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征地</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730亩</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21900.0</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21911.00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174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拆迁补偿</w:t>
            </w:r>
          </w:p>
        </w:tc>
        <w:tc>
          <w:tcPr>
            <w:tcW w:w="14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生产及生活按着</w:t>
            </w:r>
          </w:p>
        </w:tc>
        <w:tc>
          <w:tcPr>
            <w:tcW w:w="161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29394m</w:t>
            </w:r>
            <w:r>
              <w:rPr>
                <w:rFonts w:hint="eastAsia" w:ascii="Times New Roman" w:hAnsi="Times New Roman" w:eastAsia="宋体" w:cs="Times New Roman"/>
                <w:sz w:val="21"/>
                <w:szCs w:val="21"/>
                <w:vertAlign w:val="superscript"/>
                <w:lang w:val="en-US" w:eastAsia="zh-CN"/>
              </w:rPr>
              <w:t>2</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4245.97</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4251.62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78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w:t>
            </w:r>
          </w:p>
        </w:tc>
        <w:tc>
          <w:tcPr>
            <w:tcW w:w="4771"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合计</w:t>
            </w:r>
          </w:p>
        </w:tc>
        <w:tc>
          <w:tcPr>
            <w:tcW w:w="14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26944.73</w:t>
            </w:r>
          </w:p>
        </w:tc>
        <w:tc>
          <w:tcPr>
            <w:tcW w:w="145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26963.27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表2.5-3施工期主要环保投资一览表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0"/>
        <w:gridCol w:w="1416"/>
        <w:gridCol w:w="1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环保措施</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环评预估投资（万元）</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实际投资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bCs/>
                <w:kern w:val="2"/>
                <w:sz w:val="21"/>
                <w:szCs w:val="21"/>
                <w:vertAlign w:val="baseline"/>
                <w:lang w:val="en-US" w:eastAsia="zh-CN" w:bidi="ar-SA"/>
              </w:rPr>
            </w:pPr>
            <w:r>
              <w:rPr>
                <w:rFonts w:hint="eastAsia" w:ascii="Times New Roman" w:hAnsi="Times New Roman" w:eastAsia="宋体" w:cs="Times New Roman"/>
                <w:b/>
                <w:bCs/>
                <w:sz w:val="21"/>
                <w:szCs w:val="21"/>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临时声屏障</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30.0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施工营地化粪池、垃圾清运</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22.5</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桥梁施工防止污染河流</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建材运输加盖、设蓬、堆放防雨措施</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76.0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施工现场清理</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30.0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水土流失防治措施</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184.5</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施工现场洒水</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28.0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绿化、生态恢复、营地及临时道路的恢复</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471.85</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环境监测、环境管理、环境监理</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232.20</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56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合计</w:t>
            </w:r>
          </w:p>
        </w:tc>
        <w:tc>
          <w:tcPr>
            <w:tcW w:w="141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1115.05</w:t>
            </w:r>
          </w:p>
        </w:tc>
        <w:tc>
          <w:tcPr>
            <w:tcW w:w="148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1138.2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表2.5-4 运营期环境管理费用一览表（以20年计）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2988"/>
        <w:gridCol w:w="2130"/>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5"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项目</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具体内容</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环评预估费用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（万元/年）</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27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环保管理</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日常环保管理</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27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设施运行、维护、折旧</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27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绿化维护</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20.0</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固废收集、环境卫生</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环境监测</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环境监测费</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人员培训</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人员培训费</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2.0</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2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环保工程</w:t>
            </w:r>
          </w:p>
        </w:tc>
        <w:tc>
          <w:tcPr>
            <w:tcW w:w="29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不可预见费用</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4258"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合计</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38.5</w:t>
            </w:r>
          </w:p>
        </w:tc>
        <w:tc>
          <w:tcPr>
            <w:tcW w:w="21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770</w:t>
            </w:r>
          </w:p>
        </w:tc>
      </w:tr>
    </w:tbl>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27" w:name="_Toc5443"/>
      <w:r>
        <w:rPr>
          <w:rFonts w:hint="eastAsia" w:ascii="Times New Roman" w:hAnsi="Times New Roman" w:eastAsia="宋体" w:cs="Times New Roman"/>
          <w:b/>
          <w:bCs/>
          <w:sz w:val="24"/>
          <w:szCs w:val="24"/>
          <w:lang w:val="en-US" w:eastAsia="zh-CN"/>
        </w:rPr>
        <w:t>3 环境影响评价报告回顾</w:t>
      </w:r>
      <w:bookmarkEnd w:id="2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环境影响调查的重要任务之一是查清工程在设计、施工过程中对《环境影响</w:t>
      </w:r>
      <w:r>
        <w:rPr>
          <w:rFonts w:hint="eastAsia" w:ascii="Times New Roman" w:hAnsi="Times New Roman" w:eastAsia="宋体" w:cs="Times New Roman"/>
          <w:sz w:val="24"/>
          <w:szCs w:val="24"/>
          <w:lang w:val="en-US" w:eastAsia="zh-CN"/>
        </w:rPr>
        <w:t>评价</w:t>
      </w:r>
      <w:r>
        <w:rPr>
          <w:rFonts w:hint="default" w:ascii="Times New Roman" w:hAnsi="Times New Roman" w:eastAsia="宋体" w:cs="Times New Roman"/>
          <w:sz w:val="24"/>
          <w:szCs w:val="24"/>
          <w:lang w:val="en-US" w:eastAsia="zh-CN"/>
        </w:rPr>
        <w:t>报告书》及其批复要求的环境保护措施和建议的执行落实情况，因此，回顾《环境影</w:t>
      </w:r>
      <w:r>
        <w:rPr>
          <w:rFonts w:hint="eastAsia" w:ascii="Times New Roman" w:hAnsi="Times New Roman" w:eastAsia="宋体" w:cs="Times New Roman"/>
          <w:sz w:val="24"/>
          <w:szCs w:val="24"/>
          <w:lang w:val="en-US" w:eastAsia="zh-CN"/>
        </w:rPr>
        <w:t>评价</w:t>
      </w:r>
      <w:r>
        <w:rPr>
          <w:rFonts w:hint="default" w:ascii="Times New Roman" w:hAnsi="Times New Roman" w:eastAsia="宋体" w:cs="Times New Roman"/>
          <w:sz w:val="24"/>
          <w:szCs w:val="24"/>
          <w:lang w:val="en-US" w:eastAsia="zh-CN"/>
        </w:rPr>
        <w:t>响报告书》的主要内容以及环保行政主管部门对报告书的批复意见非常重要。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贵阳高新技术产业经济带沙文生态科技产业园麦沙大道道路工程环境影响评价报告书</w:t>
      </w:r>
      <w:r>
        <w:rPr>
          <w:rFonts w:hint="default" w:ascii="Times New Roman" w:hAnsi="Times New Roman" w:eastAsia="宋体" w:cs="Times New Roman"/>
          <w:sz w:val="24"/>
          <w:szCs w:val="24"/>
          <w:lang w:val="en-US" w:eastAsia="zh-CN"/>
        </w:rPr>
        <w:t>》由</w:t>
      </w:r>
      <w:r>
        <w:rPr>
          <w:rFonts w:hint="eastAsia" w:ascii="Times New Roman" w:hAnsi="Times New Roman" w:eastAsia="宋体" w:cs="Times New Roman"/>
          <w:sz w:val="24"/>
          <w:szCs w:val="24"/>
          <w:lang w:val="en-US" w:eastAsia="zh-CN"/>
        </w:rPr>
        <w:t>贵州省环境科学研究设计院</w:t>
      </w:r>
      <w:r>
        <w:rPr>
          <w:rFonts w:hint="default" w:ascii="Times New Roman" w:hAnsi="Times New Roman" w:eastAsia="宋体" w:cs="Times New Roman"/>
          <w:sz w:val="24"/>
          <w:szCs w:val="24"/>
          <w:lang w:val="en-US" w:eastAsia="zh-CN"/>
        </w:rPr>
        <w:t>于2009年</w:t>
      </w:r>
      <w:r>
        <w:rPr>
          <w:rFonts w:hint="eastAsia" w:ascii="Times New Roman" w:hAnsi="Times New Roman" w:eastAsia="宋体" w:cs="Times New Roman"/>
          <w:sz w:val="24"/>
          <w:szCs w:val="24"/>
          <w:lang w:val="en-US" w:eastAsia="zh-CN"/>
        </w:rPr>
        <w:t>03</w:t>
      </w:r>
      <w:r>
        <w:rPr>
          <w:rFonts w:hint="default" w:ascii="Times New Roman" w:hAnsi="Times New Roman" w:eastAsia="宋体" w:cs="Times New Roman"/>
          <w:sz w:val="24"/>
          <w:szCs w:val="24"/>
          <w:lang w:val="en-US" w:eastAsia="zh-CN"/>
        </w:rPr>
        <w:t>月编制完成，并于2009 年</w:t>
      </w:r>
      <w:r>
        <w:rPr>
          <w:rFonts w:hint="eastAsia" w:ascii="Times New Roman" w:hAnsi="Times New Roman" w:eastAsia="宋体" w:cs="Times New Roman"/>
          <w:sz w:val="24"/>
          <w:szCs w:val="24"/>
          <w:lang w:val="en-US" w:eastAsia="zh-CN"/>
        </w:rPr>
        <w:t>04</w:t>
      </w:r>
      <w:r>
        <w:rPr>
          <w:rFonts w:hint="default" w:ascii="Times New Roman" w:hAnsi="Times New Roman" w:eastAsia="宋体" w:cs="Times New Roman"/>
          <w:sz w:val="24"/>
          <w:szCs w:val="24"/>
          <w:lang w:val="en-US" w:eastAsia="zh-CN"/>
        </w:rPr>
        <w:t>月得到了贵州省环保厅的批复，本次调查中采用的某些结论及环境保护措施考察的依据即出自《</w:t>
      </w:r>
      <w:r>
        <w:rPr>
          <w:rFonts w:hint="eastAsia" w:ascii="Times New Roman" w:hAnsi="Times New Roman" w:eastAsia="宋体" w:cs="Times New Roman"/>
          <w:sz w:val="24"/>
          <w:szCs w:val="24"/>
          <w:lang w:val="en-US" w:eastAsia="zh-CN"/>
        </w:rPr>
        <w:t>贵阳高新技术产业经济带沙文生态科技产业园麦沙大道道路工程环境影响评价报告书</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1"/>
        <w:rPr>
          <w:rFonts w:hint="eastAsia" w:ascii="Times New Roman" w:hAnsi="Times New Roman" w:eastAsia="宋体" w:cs="Times New Roman"/>
          <w:sz w:val="24"/>
          <w:szCs w:val="24"/>
          <w:lang w:val="en-US" w:eastAsia="zh-CN"/>
        </w:rPr>
      </w:pPr>
      <w:bookmarkStart w:id="28" w:name="_Toc10399"/>
      <w:r>
        <w:rPr>
          <w:rFonts w:hint="eastAsia" w:ascii="Times New Roman" w:hAnsi="Times New Roman" w:eastAsia="宋体" w:cs="Times New Roman"/>
          <w:sz w:val="24"/>
          <w:szCs w:val="24"/>
          <w:lang w:val="en-US" w:eastAsia="zh-CN"/>
        </w:rPr>
        <w:t>3.1环境影响影响评价报告的主要结论</w:t>
      </w:r>
      <w:bookmarkEnd w:id="2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29" w:name="_Toc21682"/>
      <w:r>
        <w:rPr>
          <w:rFonts w:hint="eastAsia" w:ascii="Times New Roman" w:hAnsi="Times New Roman" w:eastAsia="宋体" w:cs="Times New Roman"/>
          <w:sz w:val="24"/>
          <w:szCs w:val="24"/>
          <w:lang w:val="en-US" w:eastAsia="zh-CN"/>
        </w:rPr>
        <w:t>3.1.1工程概况</w:t>
      </w:r>
      <w:bookmarkEnd w:id="2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道路西起白云北路延伸段，在该处与白云北路延伸段及规划道路形成十字形的平面交叉口。然后道路往东北方向延伸，在K0+387处设R=700m的曲线后左偏，道路继续向东北方向延伸，在K1+538处设R=800m的曲线后，路线呈水平向东延伸，于K2+020处上跨麦架河，K2+100至K2+500道路右侧穿过玫瑰基地，在K3+580处道路左侧穿过白云区麻堡小学，在K5+500处道路左侧穿过白云区云山碳素厂、白云区镀锌厂，在K5+850处设R=3500m的曲线后路线向东北方向延伸，于K6+200处经过垣口，最后路线沿规划走向分别与210国道相交，终点下穿贵遵高速公路后接规划的盐沙线终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0" w:name="_Toc25906"/>
      <w:r>
        <w:rPr>
          <w:rFonts w:hint="eastAsia" w:ascii="Times New Roman" w:hAnsi="Times New Roman" w:eastAsia="宋体" w:cs="Times New Roman"/>
          <w:sz w:val="24"/>
          <w:szCs w:val="24"/>
          <w:lang w:val="en-US" w:eastAsia="zh-CN"/>
        </w:rPr>
        <w:t>3.1.2规划符合性</w:t>
      </w:r>
      <w:bookmarkEnd w:id="3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本项目作为</w:t>
      </w:r>
      <w:r>
        <w:rPr>
          <w:rFonts w:hint="eastAsia" w:ascii="Times New Roman" w:hAnsi="Times New Roman" w:eastAsia="宋体" w:cs="Times New Roman"/>
          <w:sz w:val="24"/>
          <w:szCs w:val="24"/>
          <w:lang w:val="en-US" w:eastAsia="zh-CN"/>
        </w:rPr>
        <w:t>贵</w:t>
      </w:r>
      <w:r>
        <w:rPr>
          <w:rFonts w:hint="default" w:ascii="Times New Roman" w:hAnsi="Times New Roman" w:eastAsia="宋体" w:cs="Times New Roman"/>
          <w:sz w:val="24"/>
          <w:szCs w:val="24"/>
          <w:lang w:val="en-US" w:eastAsia="zh-CN"/>
        </w:rPr>
        <w:t>阳高新技术经济带沙文生态科技产业园规划的纵向城市I级主干道，项目建成运营后，不仅为产业园区路网结构的建设发挥着重要作用，同时为产业园区通往白云区、产业园区构筑起一条通道，为充分发挥三地骨架路网的整体效益做出十分重要的贡献。本项目与《贵阳高新技术经济带沙文生态科技产业园规划》、《贵阳市城区道路网规划（2006〜2020年）》、《贵阳市白云区控制性详细规划》中各规划道路协调性较好，符合上述规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1" w:name="_Toc24571"/>
      <w:r>
        <w:rPr>
          <w:rFonts w:hint="eastAsia" w:ascii="Times New Roman" w:hAnsi="Times New Roman" w:eastAsia="宋体" w:cs="Times New Roman"/>
          <w:sz w:val="24"/>
          <w:szCs w:val="24"/>
          <w:lang w:val="en-US" w:eastAsia="zh-CN"/>
        </w:rPr>
        <w:t>3.1.3方案比选</w:t>
      </w:r>
      <w:bookmarkEnd w:id="3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本工程涉及两个比选方案，分别为K</w:t>
      </w:r>
      <w:r>
        <w:rPr>
          <w:rFonts w:hint="eastAsia" w:ascii="Times New Roman" w:hAnsi="Times New Roman" w:eastAsia="宋体" w:cs="Times New Roman"/>
          <w:sz w:val="24"/>
          <w:szCs w:val="24"/>
          <w:lang w:val="en-US" w:eastAsia="zh-CN"/>
        </w:rPr>
        <w:t>0</w:t>
      </w:r>
      <w:r>
        <w:rPr>
          <w:rFonts w:hint="default" w:ascii="Times New Roman" w:hAnsi="Times New Roman" w:eastAsia="宋体" w:cs="Times New Roman"/>
          <w:sz w:val="24"/>
          <w:szCs w:val="24"/>
          <w:lang w:val="en-US" w:eastAsia="zh-CN"/>
        </w:rPr>
        <w:t>+000〜K0+500段（远离麦架河与靠近 麦架河方案）、K1+199.007〜金苏大道交叉口（穿越玫瑰园方案与绕避玫瑰园方 案），本评价从环评角度综合考虑，并结合工可报告方案情况，本评价推荐方案 与工程可研推荐方案一致。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2" w:name="_Toc27510"/>
      <w:r>
        <w:rPr>
          <w:rFonts w:hint="eastAsia" w:ascii="Times New Roman" w:hAnsi="Times New Roman" w:eastAsia="宋体" w:cs="Times New Roman"/>
          <w:sz w:val="24"/>
          <w:szCs w:val="24"/>
          <w:lang w:val="en-US" w:eastAsia="zh-CN"/>
        </w:rPr>
        <w:t>3.1.4环境现状评价</w:t>
      </w:r>
      <w:bookmarkEnd w:id="3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3.1.4.1生态环境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拟建公路沿线200m范围内主要植被结构总体以农田植被为主，占评价面积的68.44%，其中早作24.01%，水田44.43%。全路线所经地段的林地植被面积达18.23hm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，林地植被以灌丛为主，占评价区面积的6.12%，针叶林占植被的0.20%，草地植被占3.14%，可见本公路建设所经地段林地植被主要以灌丛地为主。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3.1.4.2水环境</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地表水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pH、SS、COD、石油类、S</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及高锰酸盐指数在项各监测断面均能满足《出表水环境质量标准》（GB3838-2002）的Ⅲ类标准。BOD</w:t>
      </w:r>
      <w:r>
        <w:rPr>
          <w:rFonts w:hint="eastAsia" w:ascii="Times New Roman" w:hAnsi="Times New Roman" w:eastAsia="宋体" w:cs="Times New Roman"/>
          <w:sz w:val="24"/>
          <w:szCs w:val="24"/>
          <w:vertAlign w:val="subscript"/>
          <w:lang w:val="en-US" w:eastAsia="zh-CN"/>
        </w:rPr>
        <w:t>5</w:t>
      </w:r>
      <w:r>
        <w:rPr>
          <w:rFonts w:hint="eastAsia" w:ascii="Times New Roman" w:hAnsi="Times New Roman" w:eastAsia="宋体" w:cs="Times New Roman"/>
          <w:sz w:val="24"/>
          <w:szCs w:val="24"/>
          <w:lang w:val="en-US" w:eastAsia="zh-CN"/>
        </w:rPr>
        <w:t>、NH-N及TP有不同程度的超标现象，其中BOD</w:t>
      </w:r>
      <w:r>
        <w:rPr>
          <w:rFonts w:hint="eastAsia" w:ascii="Times New Roman" w:hAnsi="Times New Roman" w:eastAsia="宋体" w:cs="Times New Roman"/>
          <w:sz w:val="24"/>
          <w:szCs w:val="24"/>
          <w:vertAlign w:val="subscript"/>
          <w:lang w:val="en-US" w:eastAsia="zh-CN"/>
        </w:rPr>
        <w:t>5</w:t>
      </w:r>
      <w:r>
        <w:rPr>
          <w:rFonts w:hint="eastAsia" w:ascii="Times New Roman" w:hAnsi="Times New Roman" w:eastAsia="宋体" w:cs="Times New Roman"/>
          <w:sz w:val="24"/>
          <w:szCs w:val="24"/>
          <w:lang w:val="en-US" w:eastAsia="zh-CN"/>
        </w:rPr>
        <w:t>在麦架河桥I下游2000mW5断面超标，标准指数为1.03，超标倍数为0.03；NH-N在W2（大泥窝河汇人麦架河前100m）、W4（麦架河桥1下游200m）和W5断面均出现超标，标准指数分别为3.30、338和4.19，超标倍数分别为2.30、2.38和3.19倍；TP在W5断面超标，标准指数为1.07，超标倍数为0.07。</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地下水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评价对项目沿线印台山水井进行了水质监测，据监测报告该井的pH、高锰酸盐指数、总硬度、NH4-N和细菌总数均能达到对应的地下水质标准要求，但其总大肠菌群严重超标，超标倍数超过76.67倍，这主要是由于地下水出露于地表后受人畜、鸟类等粪便污染的缘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3.1.4.3环境空气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据监测报告，两个测点的两种监测项目5d的监测结果均未超过《环境空气质量标准》（GB3095-1996）二级标准，说明当地空气环境质量达标，NO2和TSP均有相当的剩余环境容量。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3.1.4.4声环境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声环境 据监测报告，在4个监测点的1天2次监测中，昼夜监测结果表明高坡村、王家院和沙文镇昼夜间均能达到《声环境质量标准》（GB3096-2008）4a类区的要求，沙文中学昼夜间能达到《声环境质量标准》（GB3096-2008）2类区的要求，声环境质量一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3.1.4.5景观环境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综合景观敏感性、阈值及景观现状质量评价结果，拟建公路沿线景观环境质量现状一般，为了在营运期给司乘人员创造较好的景观环境，公路建设过程中应注重对沿线景观环境的保护，并做好施工结束后的景观恢复与创造工作，使公路外部景观保存完整，公路内部景观流畅，内部景观融入外部景观，协调一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33" w:name="_Toc4976"/>
      <w:r>
        <w:rPr>
          <w:rFonts w:hint="eastAsia" w:ascii="Times New Roman" w:hAnsi="Times New Roman" w:eastAsia="宋体" w:cs="Times New Roman"/>
          <w:sz w:val="24"/>
          <w:szCs w:val="24"/>
          <w:lang w:val="en-US" w:eastAsia="zh-CN"/>
        </w:rPr>
        <w:t>3.1.5环境影响预测与评价</w:t>
      </w:r>
      <w:bookmarkEnd w:id="3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3.1.5.1社会环境</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道路工程施工期对周围社会环境的影响主要体现在施工占地拆迁、群众出行、学校正常教学秩序、电力电讯供水设施迁移等方面的影响。</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建成后，社会效益显著，有利于繁荣地方经济，取得较大的社会经济效益，有利于扩大就业，促进社会综合事业的发展，有利于提高沿线人民的收入，改善人民的生活环境，有利于改善当地人文环境，提高文化教育水平，促进旅游业发展，使沿线广大人民直接受益。建设带来的负面影响，主要是占用耕地较多，施工和运营中对环境带来一定污染，但只要采取积极有效的措施是可以得到妥善解决的。项目所在地的社会环境、人文条件适应项目的建设与可持续发展，社会风险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3.1.5.2生态环境</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路基工程施工 由于项目有部分路段临近河道，路基工程建设中需要挖、填、切方，局部地段可能引发崩塌及填方体边坡滑塌，造成水土流失等，不仅影响工程区域生态环境，遇雨冲刷直接进入河流水体，致使河床增高，河道淤塞，影响河流畅通，麦架河等将受到直接影响，其后果是河流下游产生新的生态环境问题∶洪水淹没农田，导致农业减产，人民生命财产受到威胁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②桥梁工程产生的影响 公路沿线路基及拟建桥梁，工程建设桥台、桥墩可能引发基坑坑壁基岩顺层滑坡、崩塌，产生水土流失等生态环境影响，后果同上。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③石料场、弃土场的合理性分析 本项目共开挖土石方（自然方）64.55万m²，其中土方11.04万m²，石方53.51万m³</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回填石方（自然方）49.69万m³，弃方（自然方）5.87万m²（土方2.05 万m³，石方3.82万m³）。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容量的合理性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本工程设置1个永久和4个临时弃土场，容渣量分别为900万m³、8.9854万m²，需堆存的弃土量为5.87万m³、8.98万m³，能满足弃土的堆放。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占地的合理性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的选择的1个永久和4个临时弃土场，所占均为坡耕地沟谷地貌、植被类型为灌草丛等，不涉及基本衣田保护区、水源促区、风景名胜区等，离地表水体麦架河、高山河、人泥岗冲、多格困水库等均在500m以远，只要采取必要的挡、拦、植被恢复等措施，并土场的设置对环境的影响有限，设置某本合理。但由于贵州山区耕地少，应尽量少占耕地。另外，化为市政交通道路基础设施建设，不宜在产业园区内设置水久弃土场，评价建议工程弃土应结合产业园区其它市政工程进行土石方综合调配，将本工程的弃方用于其它工程的填方，以减少弃土占地对生态环境和景观环境的影响。</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对农业的影响主要是占用水田，拟建项目将永久性占用耕地34.18hm²（其中基本农田8.54hm²），占项目永久占地的76.18%，对沿线地区的农业总体影响较大。被占用地的耕地将丧失原有的农业生产能力，给道路沿线地区农业生产带来一定损失，使农作物产量减少，沿线农民的农业收入和生活受到一定的影响。应在工程完工后及时对部分临时占地进行复垦，同时切实落实征地补偿安置政策，随着地方实行产业结构调整，使农民的生产和生活不低于征地前的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拟建道路征地范围内有部分基本农田分布，本工程将占用基本农田约8.54hm²（最终以土地管理部门认可的实测面积为准），占所占耕地面积的249%。建设单位必须根据1998年国务院令第257号《基本农田保护条例》及贵州省《基本农田保护条例》的相关内容，交通等重点建设项目选址确实无法避开基本农田保护区，需要占用基本农田，涉及农用地转用或者征用土地的，必须经国务院批准。并作好相应的补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3.1.5.3水环境</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①地表水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公路建设属于线性污染影响，特点是排污量且小分散，污染物主要来源于施工人员生活营地排污。由于该项目施工人员多为本地群众，，施工生活营地设在就王家院</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拟设施工营地不占良田好土、林地，周围大多为农田和可耕地，方便施工营地旱厕农肥清掏和施用，施工营地临近村寨，可充分利用民房，减少占地面积。不利之处在于该施工营地离麦架河较近（80m），施工时若不加强管理，施工时产生的生活污水、施工废水、生活垃圾极易流入麦架河，从而对麦架河造成污染，为此本评价要求在施工营地设置旱厕和生活垃圾收集桶，生活污水经旱顾处理后经现有农灌沟渠农灌不外排，施工结束后覆土掩埋，施工废水经沉淀池沉淀后循环利用不外排，生活垃圾经桶装收集后集中运往指定垃圾堆放点堆放，严禁将生产废水、生活污水、生活垃圾等乱排、乱堆，严禁排入麦架河。施工营地的设置是合理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由于沿河施工，土石开挖产生水土流失，增加河流泥沙含量，从而影响河水水质</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施工中的废弃物随意倾倒，雨季遇雨水冲刷，随地表径流入河，造成水体污染。因此加强施工期的管理十分重要。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②地下水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公路建设对地下水的影响主要表现在以下几个方面∶一是建筑材料运输与堆放和施工营地生活污水对水质的影响</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其次在路基开挖过程中，由于地下水水位埋深较浅，一方面直接凿穿了溶隙，另一方面震动加大了溶隙的透水能力，致使大量的溶隙水从基础开挖裸露面涌出，从而阻断地下水的通道。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本项目不涉及隧道等对地下水影响较大的工程项目，高填深挖较少。因此，本项目的建设对地下水的影响较小。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本项目离印台山水井最近距离70m，若项目施工过程中不加强管理，弃土弃渣乱堆乱排、原材料堆放临近水井等均会对水井水质产生污染，因此项目建设对其有一定影响。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由于本项目不设停车场和收费站，因此道路营运期间主要是路面径流雨水对沿线水体的影响。据预测桥面雨水产生的污染物排人麦架后，其水质名而</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师环域质量标准》（OB。入河流或冲撞水井，对河流及水井永均未超《地表水环境质量标准》（GB3838-2002）Ⅲ类标准，影响较小。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危险品运输车辆等若发生事故，使其翻入河流或冲撞水井，对河流及水质均会造成污染。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3.1.5.4环境空气</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施工期对环境空气污染的主要污染源有汽车付驶扬生、原材科堆场扬尘、材料拌合扬尘、沥青铺设过程中的沥青烟等。沥青铺浇路面时所排放的烟气其污热物影响距离一般在 50m之内，因此，当路段施工靠近村庄、学校时，沥青铺没时应避免风向针对村庄、学校的时段，以免对人群健康产生影响。</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用《环境空气质量标准》（GB3095-1996）二级标准评价，NO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、TSP日均浓度预测值，在项目沿线均无超标现象，均能达到《环境空气质量标准》（GB3095-1996）二级标准的要求。可见，车速60km/h 时，沥青路面清洁程度较高，NO、TSP对公路两侧影响不大。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对保护目标的影响∶用《环境空气质量标准》（GB3095-1996）二级标准评价，NO2、TSP对拟建公路沿线保护目标均影响不大，均在标准限值以内。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3.1.5.5声环境</w:t>
      </w:r>
    </w:p>
    <w:p>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拟建公路沿线敏感点与路线的相对位置关系，公路沿线高坡村、麻堡组、沙子坡、王家院、沙文镇、沙文中学等村庄和学校敏感点受到施工噪声影响，施工期设置临时声屏障，能达到《建筑施工场界噪声限值》（GB12523-90）的要求。</w:t>
      </w:r>
    </w:p>
    <w:p>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拟建道路沿线各敏感点营运近期（2011年）昼间除麻堡组超标0.4dB（A），其余敏感点全部达标，夜间除董染坝达标外，其余敏感点均超标，超标范围17~3.6dB（A）</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营运中期（2015年）昼间除麻堡组处超标0.9dB（A）外，其余敏感点均达标</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夜间全部敏感点都超标，超标范围0.9～6.0dB（A）</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营运远期（2029 年）昼间除麻堡组超标2.9dB（A）外，其余敏感点均达标。夜间全部敏感点超标，超标范围1.1～9.2dB（A）。</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3.1.5.6景观环境</w:t>
      </w:r>
    </w:p>
    <w:p>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①路基施工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社建设中填挖的程度越大，产生的高填深挖路段也越多.从而对原有地形画貌及景观环境的改变也越大。高填深挖路段施工中大面积的深切山体及高填路</w:t>
      </w:r>
      <w:r>
        <w:rPr>
          <w:rFonts w:hint="eastAsia" w:ascii="Times New Roman" w:hAnsi="Times New Roman" w:eastAsia="宋体" w:cs="Times New Roman"/>
          <w:sz w:val="24"/>
          <w:szCs w:val="24"/>
          <w:lang w:val="en-US" w:eastAsia="zh-CN"/>
        </w:rPr>
        <w:t>基后形成的高大裸露坡</w:t>
      </w:r>
      <w:r>
        <w:rPr>
          <w:rFonts w:hint="default" w:ascii="Times New Roman" w:hAnsi="Times New Roman" w:eastAsia="宋体" w:cs="Times New Roman"/>
          <w:sz w:val="24"/>
          <w:szCs w:val="24"/>
          <w:lang w:val="en-US" w:eastAsia="zh-CN"/>
        </w:rPr>
        <w:t>面，势必会与周围植被及农业生态景观产生巨大的反差，</w:t>
      </w:r>
      <w:r>
        <w:rPr>
          <w:rFonts w:hint="eastAsia" w:ascii="Times New Roman" w:hAnsi="Times New Roman" w:eastAsia="宋体" w:cs="Times New Roman"/>
          <w:sz w:val="24"/>
          <w:szCs w:val="24"/>
          <w:lang w:val="en-US" w:eastAsia="zh-CN"/>
        </w:rPr>
        <w:t>成为路段内</w:t>
      </w:r>
      <w:r>
        <w:rPr>
          <w:rFonts w:hint="default" w:ascii="Times New Roman" w:hAnsi="Times New Roman" w:eastAsia="宋体" w:cs="Times New Roman"/>
          <w:sz w:val="24"/>
          <w:szCs w:val="24"/>
          <w:lang w:val="en-US" w:eastAsia="zh-CN"/>
        </w:rPr>
        <w:t>主要的视觉敏感点</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而其敏感程度还与施工后期的绿化恢复紧密相</w:t>
      </w:r>
      <w:r>
        <w:rPr>
          <w:rFonts w:hint="eastAsia" w:ascii="Times New Roman" w:hAnsi="Times New Roman" w:eastAsia="宋体" w:cs="Times New Roman"/>
          <w:sz w:val="24"/>
          <w:szCs w:val="24"/>
          <w:lang w:val="en-US" w:eastAsia="zh-CN"/>
        </w:rPr>
        <w:t>关；绿</w:t>
      </w:r>
      <w:r>
        <w:rPr>
          <w:rFonts w:hint="default" w:ascii="Times New Roman" w:hAnsi="Times New Roman" w:eastAsia="宋体" w:cs="Times New Roman"/>
          <w:sz w:val="24"/>
          <w:szCs w:val="24"/>
          <w:lang w:val="en-US" w:eastAsia="zh-CN"/>
        </w:rPr>
        <w:t>化恢复越差，人工的痕迹越明显，则其与周围景观的不协调性越大，给司</w:t>
      </w:r>
      <w:r>
        <w:rPr>
          <w:rFonts w:hint="eastAsia" w:ascii="Times New Roman" w:hAnsi="Times New Roman" w:eastAsia="宋体" w:cs="Times New Roman"/>
          <w:sz w:val="24"/>
          <w:szCs w:val="24"/>
          <w:lang w:val="en-US" w:eastAsia="zh-CN"/>
        </w:rPr>
        <w:t>乘人员</w:t>
      </w:r>
      <w:r>
        <w:rPr>
          <w:rFonts w:hint="default" w:ascii="Times New Roman" w:hAnsi="Times New Roman" w:eastAsia="宋体" w:cs="Times New Roman"/>
          <w:sz w:val="24"/>
          <w:szCs w:val="24"/>
          <w:lang w:val="en-US" w:eastAsia="zh-CN"/>
        </w:rPr>
        <w:t>和沿线居民视觉上的不良冲击越强烈。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②桥梁等施工景观影响分析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桥梁</w:t>
      </w:r>
      <w:r>
        <w:rPr>
          <w:rFonts w:hint="default" w:ascii="Times New Roman" w:hAnsi="Times New Roman" w:eastAsia="宋体" w:cs="Times New Roman"/>
          <w:sz w:val="24"/>
          <w:szCs w:val="24"/>
          <w:lang w:val="en-US" w:eastAsia="zh-CN"/>
        </w:rPr>
        <w:t>施工中对岸侧原有地形地貌的改变形成的裸露面，及桥墩的建设中可能的淤泥、油类随意排放污染河道等均会对景观环境产生一定的不利影响。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分离式</w:t>
      </w:r>
      <w:r>
        <w:rPr>
          <w:rFonts w:hint="default" w:ascii="Times New Roman" w:hAnsi="Times New Roman" w:eastAsia="宋体" w:cs="Times New Roman"/>
          <w:sz w:val="24"/>
          <w:szCs w:val="24"/>
          <w:lang w:val="en-US" w:eastAsia="zh-CN"/>
        </w:rPr>
        <w:t>立交其线形和造型如设计得好，则会对其附近的整体景观起到良好的托作用，本工程设立的互通主要是依据交通流量分布和城市功能确定，将对改能城市近郊的景观起到较好的烘托作用。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③施工用地景观影响分析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除水土保持方案中所推荐的弃土场外，预制场、施工营地、运输便道施工用地均沿路线两侧分布，并大多处于道路可视范围内，如未能在施工结束后及时绿化、复耕或进行相应的土地利用，裸露的地表将与周围植被茂盛的景观环境形成鲜明的反差，将对沿线景观产生不利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④对城市景观的影响分析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拟建公路本身作为市政基础设施，其推荐方案终点段穿经沙文镇区，所经区域有居民点、学校、企业等。为减轻拟建公路与沿线景观的不协调性，应对拟建道路进行专门的景观设计，建议加强公路沿线的绿化工作，减缓其景观影响。</w:t>
      </w:r>
    </w:p>
    <w:p>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公路建成以后，倘若对原有破坏的生态恢复措施得当，形成</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绿色通道</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之效，则公路本身也形成独特的一道景观。从用路者的角度来看，公路的舒适、美观及公路与周围环境的和谐性都使人感到赏心悦目。车外的绿色融融、远处的蓝</w:t>
      </w:r>
      <w:r>
        <w:rPr>
          <w:rFonts w:hint="eastAsia" w:ascii="Times New Roman" w:hAnsi="Times New Roman" w:eastAsia="宋体" w:cs="Times New Roman"/>
          <w:sz w:val="24"/>
          <w:szCs w:val="24"/>
          <w:lang w:val="en-US" w:eastAsia="zh-CN"/>
        </w:rPr>
        <w:t>天</w:t>
      </w:r>
      <w:r>
        <w:rPr>
          <w:rFonts w:hint="default" w:ascii="Times New Roman" w:hAnsi="Times New Roman" w:eastAsia="宋体" w:cs="Times New Roman"/>
          <w:sz w:val="24"/>
          <w:szCs w:val="24"/>
          <w:lang w:val="en-US" w:eastAsia="zh-CN"/>
        </w:rPr>
        <w:t>白云，再加上公路本身行车的速度，两旁的景致一览无余，使人感到心旷神怡。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3.1.5.7固体废物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（1）施工期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本项目施工过程中产生的固体废物主要为工程并方、施工人员生活垃报筑材料临时对方及施工作业场所所产生的建筑废料等。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①工程弃方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本项目共开挖土石方（自然方）64.5</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万m²，其中土方11.04万m²，石方</w:t>
      </w:r>
      <w:r>
        <w:rPr>
          <w:rFonts w:hint="eastAsia" w:ascii="Times New Roman" w:hAnsi="Times New Roman" w:eastAsia="宋体" w:cs="Times New Roman"/>
          <w:sz w:val="24"/>
          <w:szCs w:val="24"/>
          <w:lang w:val="en-US" w:eastAsia="zh-CN"/>
        </w:rPr>
        <w:t>53.51</w:t>
      </w:r>
      <w:r>
        <w:rPr>
          <w:rFonts w:hint="default" w:ascii="Times New Roman" w:hAnsi="Times New Roman" w:eastAsia="宋体" w:cs="Times New Roman"/>
          <w:sz w:val="24"/>
          <w:szCs w:val="24"/>
          <w:lang w:val="en-US" w:eastAsia="zh-CN"/>
        </w:rPr>
        <w:t>万m³</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回填石方（自然方）49.69万m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，弃方（目然方》</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.87力m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（土方2.05万，石方3.82万m³）。弃土场恢复植被或复垦。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②生活垃圾、建筑垃圾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施工人员在施工中避免不了要产生固体废物。固体废物是多种污染物的</w:t>
      </w:r>
      <w:r>
        <w:rPr>
          <w:rFonts w:hint="eastAsia" w:ascii="Times New Roman" w:hAnsi="Times New Roman" w:eastAsia="宋体" w:cs="Times New Roman"/>
          <w:sz w:val="24"/>
          <w:szCs w:val="24"/>
          <w:lang w:val="en-US" w:eastAsia="zh-CN"/>
        </w:rPr>
        <w:t>最终</w:t>
      </w:r>
      <w:r>
        <w:rPr>
          <w:rFonts w:hint="default" w:ascii="Times New Roman" w:hAnsi="Times New Roman" w:eastAsia="宋体" w:cs="Times New Roman"/>
          <w:sz w:val="24"/>
          <w:szCs w:val="24"/>
          <w:lang w:val="en-US" w:eastAsia="zh-CN"/>
        </w:rPr>
        <w:t>形态，成分较为复杂。固体废物对周围环境的影响</w:t>
      </w:r>
      <w:r>
        <w:rPr>
          <w:rFonts w:hint="eastAsia" w:ascii="Times New Roman" w:hAnsi="Times New Roman" w:eastAsia="宋体" w:cs="Times New Roman"/>
          <w:sz w:val="24"/>
          <w:szCs w:val="24"/>
          <w:lang w:val="en-US" w:eastAsia="zh-CN"/>
        </w:rPr>
        <w:t>首先表现</w:t>
      </w:r>
      <w:r>
        <w:rPr>
          <w:rFonts w:hint="default" w:ascii="Times New Roman" w:hAnsi="Times New Roman" w:eastAsia="宋体" w:cs="Times New Roman"/>
          <w:sz w:val="24"/>
          <w:szCs w:val="24"/>
          <w:lang w:val="en-US" w:eastAsia="zh-CN"/>
        </w:rPr>
        <w:t>在侵占土地，破坏地貌和植被。如果对固体废物不加以处置和利用，就必须放在果一个地方堆存，</w:t>
      </w:r>
      <w:r>
        <w:rPr>
          <w:rFonts w:hint="eastAsia" w:ascii="Times New Roman" w:hAnsi="Times New Roman" w:eastAsia="宋体" w:cs="Times New Roman"/>
          <w:sz w:val="24"/>
          <w:szCs w:val="24"/>
          <w:lang w:val="en-US" w:eastAsia="zh-CN"/>
        </w:rPr>
        <w:t>这</w:t>
      </w:r>
      <w:r>
        <w:rPr>
          <w:rFonts w:hint="default" w:ascii="Times New Roman" w:hAnsi="Times New Roman" w:eastAsia="宋体" w:cs="Times New Roman"/>
          <w:sz w:val="24"/>
          <w:szCs w:val="24"/>
          <w:lang w:val="en-US" w:eastAsia="zh-CN"/>
        </w:rPr>
        <w:t>就必须占用一定量的土地。需堆存的数量越大，占用的土地就会越多。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公路施工场地的建筑垃圾主要是指剩余的筑路材料，包括石料、砂、石灰、水泥、木料等。上述筑路材料均是按施工进度有计划购置的，但公路工程土石方用量巨大，难免有少量的筑路材料余下来，放置在工棚里或露天堆放、杂乱无序，从宏观上和周围环境很不协调，造成视觉污染。若石灰或水泥随水渗入地下，将使土壤板结、pH值升高，同时还会污染地下水，使该块土地失去生产能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4" w:name="_Toc17006"/>
      <w:r>
        <w:rPr>
          <w:rFonts w:hint="eastAsia" w:ascii="Times New Roman" w:hAnsi="Times New Roman" w:eastAsia="宋体" w:cs="Times New Roman"/>
          <w:sz w:val="24"/>
          <w:szCs w:val="24"/>
          <w:lang w:val="en-US" w:eastAsia="zh-CN"/>
        </w:rPr>
        <w:t>3.1.6主要环境影响减缓措施</w:t>
      </w:r>
      <w:bookmarkEnd w:id="3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3.1.6.1施工期</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社会环境</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保畅措施∶以半封闭方式组织施工，给行人、自行车和公共汽车留出通道</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采取修建临时道路和搭建临时便桥，并设置必要的安全措施</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制定道路施工计划时，注意统筹规划，合理安排，同时相临和相交路段尽量分期施工，以有利于机动车的及时有效分流，减少因车辆方向性拥挤而造成的交通阻塞。</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拆迁安置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应重视征地、拆迁安置工作，道路的设计选线尽量避开耕地、人口密集区、学校，减少征地面积和拆迁安置量。对于无法避让的路段，应作好安置计划。本工程在建设施工前必须落实科学发展观的指导思想，以人为本，共建和谐社会，根据国家有关征地、拆迁补偿的方针、政策、法律、法规、标准及地方有关政策、法规、标准，结合当地国民经济和被征地、拆迁对象的实际情况，兼顾国家、地方和受损的群众、企事业单位的利益，严格制定《征地、拆迁补偿方案和补偿标准》和编制《拆迁安置计划》，并在当地有关部门的监督下落到实处。帮助和扶持受损对象，道路建成后，保证其生活水平不低于失去土地前的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施工前，必须先行落实麻堡小学的拆迁安置方案，并修建新的教学设施，遵循</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先安置、后施工</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的原则，确保麻堡小学正常的教学秩序不因项目建设而受影响。</w:t>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电力输送和通讯线的迁移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在工程施工前，应积极开展与电力、通讯部门的协调工作。在每一电力线迁移点，应有专门的安全监管员负责安全工作。安全警告如设立明显的警告线，夜间安装明显的指示灯等应该得到充分考虑。</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生态环境</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合理规划，作好土石方挖填平衡和纵向调运，减少临时占地与借土占地。做好山体开挖后的绿化措施，避免造成大的景观影响。</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加强施工人员的环境保护教育，增强环保意识，在施工中不乱砍伐树木，取土、弃土，应按设计要求进行。减少对作业区周围草地、灌木丛的破坏，施工营地不准设在林地</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施工人员应爱护和保护野生动物，不得捕杀野生动物，在道路施工过程中若遇到野生动物时，应及时把它们移到远离公路的地方放生。</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工程弃土场要做好挡土墙，按先挡后弃的原则，分期安排挡墙工程。于弃土的顶部及侧部设置排水沟，避免雨水直接冲刷。在弃渣场的裸露部分撒播草籽进行绿化</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路基成形后即应按绿化设计要求对环境设施带进行绿化栽植。在道路营运2～3年内，道路沿线植被覆盖率应恢复到原有水平。</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严格按照爆破技术规范进行、选择合适的季节进行爆破。</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临时堆场尽量选择荒地或耕作条件较差的土地，工程结束后予以清理、复绿，以补偿临时占地造成的绿地损失。</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建设单位应将所占耕地的耕作层土壤堆在一边，用于新开垦耕地、劣质地或其它耕地的土壤改良。</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工程施工中应尽量避免占用耕地，特别应尽量少占用基本农田。对占用的耕地要及时按照相关政策进行补偿，帮助农民实行产业结构调整，使失去十地的农民的生产和生活不低于征地前的水平</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工程完工后应及时对临时用地和部分弃渣场进行复耕以减少对耕地的占用。</w:t>
      </w:r>
    </w:p>
    <w:p>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对占用的基本农田，除依照《中华人民共和国工地管理法》和有关政法规的规定交纳税费外，并应当按照占多少，恳多少的原则，由占用单位或入人负责开垦与拟建公路所占基本农田的数量与质量相当的耕地</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没有条件开垦或者开垦的耕地不符合要求的，由用地单位或个人，按照责州省的规定缴纳耕地开垦费，向所占基本农田的区（市）土地主管部门缴纳耕地造地费，专款用于开恳新的耕地。经国务院批准占用基本农田的，当地人民政府应当按照国务院的批准文件修改土地利用总体规划，并补充划入数量和质量相当的基本农田。占用基本农田的单位应当按照县级地方人民政府的要求，将所占用的基本农田耕作层的壤用于新开垦的耕地、劣质地或其它耕地的土壤改良。在下阶段的设计中，应在满足技术标准的前提下，尽量减少基本农田的占用，在穿越基本农田较多的路段，应采取桥梁或收缩路基边坡方案，并保证保护及时恢复农田灌溉系统。</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水环境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施工区设置旱厕，并设置化粪池将粪便污水集中收集并初步处理，化粪池上清液鼓励当地农民作为农家肥使用或联系当地环卫部门定期清运处理，施工结束后将旱厕和化粪池覆土掩埋。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施工区生产废水主要来源于机械车辆维修冲洗废水和混凝土拌和车、罐车冲洗废水等，产生的生产废水经沉淀隔油处理后回用。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在临近印台山水井路段施工时，严禁将生产废水、废料等排入水井，生产废水经沉淀后回收利用，生产废料就近排入弃土场。</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在施工场地应采取洒水抑尘措施，每天洒水4~5次，可以减少扬尘70%左右</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建筑材料包括灰沙、土方的运输必需使用经改装后加有盖板的车辆，避免沿途撒落</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路面沥青材料外购环保部门验收认可的产品</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工程开挖方应集中堆放，以缩小粉尘影响范围，及时回填，减小粉尘影响时间。</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根据沿线敏感点与路线的相对位置关系，以及临近敏感点的路段形式，亮天寨、高坡村、王家院、沙文镇、沙文中学等敏感点，施工期受到施工噪声影响，为此需采取以下措施减轻施工噪声对声环境的影响∶</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施工时尽量选用低噪声设备，所选设备必须符合国家有关标准的要求</w:t>
      </w:r>
      <w:r>
        <w:rPr>
          <w:rFonts w:hint="eastAsia" w:ascii="Times New Roman" w:hAnsi="Times New Roman" w:eastAsia="宋体" w:cs="Times New Roman"/>
          <w:sz w:val="24"/>
          <w:szCs w:val="24"/>
          <w:lang w:val="en-US" w:eastAsia="zh-CN"/>
        </w:rPr>
        <w:t>，震动较大的固定机械设备应加装减振机座，固定强噪声源应考虑加装隔音罩，同时加强设备的维护和保养，保持其良好运转，以便从源头上降低施工机械的噪声级；</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强噪声机械施工作业时间应和校方商定，尽量不在学校考试时间和上课时间施工；</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避免高噪声设备同时运营；</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对教学楼和办公楼采取抽样监测，视监测结果采取移动式或临时声屏 障等防噪措施；</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建设单位应责成施工单位在施工现场标明张布通告和投诉电话，建设单位在接到报案后应及时与当地环保部门取得联系，以便及时处理各种环境纠 纷；</w:t>
      </w:r>
    </w:p>
    <w:p>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噪声大的施工器械在夜间（22：00～06：00）、昼间（12：00～14：00）及学生考试时间停止施工。若必须连续施工作业，施工单位应视具体情况及时与当地环保部门取得联系，按规定申领夜间施工证，同时发布公告最大限度的争取学校的支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3"/>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3.1.6.2营运期</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社会环境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加强路政管理，宣传教育道路沿线群众不得侵占道路用地修建住房等民用设施，加强安全教育；禁止不符合安全运输规定的车辆上路行使；拟建道路的管理机构应做好交通运输安全预防和宣传工作，确保道路畅通和人民生命财产安全；做好环境保护工程的建设和维护工作，使道路与周围环境相协调，消除道路主体工程阻隔及营运对沿线人民心理上产生的压力；加强道路主体工程的管理工作，确保通道工程畅通，以提供人民的出行方便、工作方便；为保证沿线城区建设规划与拟建道路景观建设相协调，建议主管部门加强道路两侧用地的规划工作，为沿线建筑物的性质、规模和建筑风格的严格审批；加强安全教育，在危险路段设置相应的安全提示标志，避免交通事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若项目营运时对新建麻堡小学有影响，必须委托具有相应资质的单位对其影响进行重先评估，根据评估结果提出具体的防治措施。</w:t>
      </w:r>
    </w:p>
    <w:p>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生态环境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应按道路设计要求，完成拟建道路边坡、道路征地范围内可绿化地面的植树种草工作，以达到恢复植被、减少水土流失、减少雨季路面径流污染路侧水休目的；做好临时施工营地、堆渣场、施工便道等临时古地的植被恢复和绿化的实植被恢复计划。首先，道路绿化工程是一项系统的工程，应在主体工积初步竣工，边坡等工程基本完成后进行植被恢复或复坚。其次，绿化的具体建议如下：边坡绿化应以适应当地生长的草坪植物、藤本或低濯木为主；行道树应以杨树、槐树为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3、水环境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严格执行危险品运输规定，危险品运输车辆，必须有明显标志，运输过程中，以便引起其他车辆的重视。一旦事故发生，应及时迅速报警，及时通知有关路政、消防、环保部门，采取应急措施；加强对驾驶员的安全意识教育和职业道德教育，以减少人为交通事故的发生。在泄漏事故发生后应及时采取有效的污染控制措施，严禁化学品进入麦架河，以确保水体不受污染；为防止车辆失控掉入沿线河流和印台山水井造成水质污染，应对麦架河桥两侧和印台山水井临路一侧设置防撞护栏；该道路营运期间由于无服务区和养护区等设施，因此对水环境影响较小；本项目营运期，路面雨水经道路两侧的截水沟收集后就近排入水体；要求跨越水体的麦架河桥两侧设置截水沟将初期雨水引出桥面，同时还需设置3处雨水收集池（在事故时作为应急池）用于接纳引出的污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4、声环境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对预测结果中营运近期出现超标的各敏感点采取相应的防治对策：亮天寨、高坡村、沙子坡、麻堡组、王家院、潘家湾、沙文镇、沙文中学等敏感点设置通风隔声窗，共需费用129.88万元。在村寨集镇处设置限速、禁鸣等措施，以最大限度降低车辆运行噪声对居民产生影响。采取措施后各敏感点均能达到《声环境质量标准》（GB3096-2008）中相关标准的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5、环境空气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加强交通管理和提供良好的行驶条件，周期、随机调查机动车噪声和尾气，若调查的机动车不能满足噪声及尾气排放标准，应采取措施禁止这些机动车的通行。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危险品运输事故 拟建道路本地危险品运输主要有柴油、汽油、液化气、农药以及化工原料等。危险品运输的风险主要表现为因交通事故和违反危险品运输的有关规定，使被运送的危险品在途中发生爆炸、燃烧或逸漏，并对当地环境造成污染影响。从预测出里可见，拟建道路发生危险品运输事故的概率非常小。但是只要发生危险品运论事故，对路域环境都将可能造成严重的污染和破坏，特别是对沿线的沙文镇、麦架河等产生较严重的影响。因此，应积极采取措施减少危险品运输风险，制定危险品运输事故污染风险减缓措施及应急措施，从道路设计阶段，到营运期上路检杳、途中运输、停车，直到事故处理等各个环节，要加强管理，以预防危险品运输事故的发生和控制突发环境污染事故事态的扩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35" w:name="_Toc28191"/>
      <w:r>
        <w:rPr>
          <w:rFonts w:hint="eastAsia" w:ascii="Times New Roman" w:hAnsi="Times New Roman" w:eastAsia="宋体" w:cs="Times New Roman"/>
          <w:sz w:val="24"/>
          <w:szCs w:val="24"/>
          <w:lang w:val="en-US" w:eastAsia="zh-CN"/>
        </w:rPr>
        <w:t>3.1.7水土保持</w:t>
      </w:r>
      <w:bookmarkEnd w:id="35"/>
    </w:p>
    <w:p>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水土流失防治责任范围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谁开发、谁保护，谁造成水土流失、谁负责治理”的原则，按照《开发建设项目水土保持方案技术规范》（SL204-98）关于开发建设项目水土流失防治责任范围界定的有关规定，结合项目工程建设及工程运行期可能影响的水土流失范围，确定本方案水土流失防治责任范围总面积为55.73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，其中，项目建设区面积48.08hm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，直接影响区7.65hm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水土保持措施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本工程《水土保持方案》水土流失预测结果，结合主体工程已有水土保持功能的工程等内容，项目工程水土流失防治措施体系由预防措施、临时措施和治理措施等3大部分组成，水土保持防治措施体系详见本环境影响报告书第七章。拟建道路所经地区地形变化大，地貌类型多样，水文地质构造较复杂。本工程已经编制了水土保持方案报告书》，只要按照其要求的防护措施严格执行，从技术上看是基本可行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6" w:name="_Toc30911"/>
      <w:r>
        <w:rPr>
          <w:rFonts w:hint="eastAsia" w:ascii="Times New Roman" w:hAnsi="Times New Roman" w:eastAsia="宋体" w:cs="Times New Roman"/>
          <w:sz w:val="24"/>
          <w:szCs w:val="24"/>
          <w:lang w:val="en-US" w:eastAsia="zh-CN"/>
        </w:rPr>
        <w:t>3.1.8公众参与</w:t>
      </w:r>
      <w:bookmarkEnd w:id="3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环境影响评价公众参与暂行办法》（2006年3月18日起施行）的要求，为了解拟建道路沿线公众对建设工程的反映，本次评价通过在项目直接影响区，路线经过的乡镇、办事处和村委会张贴公告，进行第一次公示。第二次是通过发放公众参与调查表格，广泛收集沿线乡镇（街道）及所属的镇（乡）的村委会、学校、企事业单位、社会团体及受影响的居民对道路建设的态度、意见和要求；第三次公众参与，在贵阳高新区网页发布第二次公告信息。根据调查结果统计，对该公路的建设支持率为95%以上；参加公众参与的个人和团体认为该道路建设对当地的经济发展有利∶对道路建设将占用土地和拆迁建筑物等，绝大部分表示理解，支持道路建设，服从国家或地方的征地、拆迁和重新安置政策，但建议尽量少占用良田沃土和少拆迁居民房屋，尽量采用货币安置；对道路建设对环境的影响，大多数人认为主要是噪声和灰尘，建议采取绿化、隔声窗等减缓措施，减轻对环境的影响。公众可以通过贵阳高新区网页下载或向建设单位和环评单位索取报告书简本，公众参与意见可以通过电话和邮箱与项目实施单位或环评单位提出，环评单位将公众意见反馈到报告书报批本中，以供管理部门和建设单位参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7" w:name="_Toc18618"/>
      <w:r>
        <w:rPr>
          <w:rFonts w:hint="eastAsia" w:ascii="Times New Roman" w:hAnsi="Times New Roman" w:eastAsia="宋体" w:cs="Times New Roman"/>
          <w:sz w:val="24"/>
          <w:szCs w:val="24"/>
          <w:lang w:val="en-US" w:eastAsia="zh-CN"/>
        </w:rPr>
        <w:t>3.1.9环境经济损益分析</w:t>
      </w:r>
      <w:bookmarkEnd w:id="3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本项目工程总投资为91813.51万元，环保投资经费总额约为2614.12万元，约占工程总投资的2.85%。环保投资与项目运行期效益比为3.62%。</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38" w:name="_Toc32359"/>
      <w:r>
        <w:rPr>
          <w:rFonts w:hint="eastAsia" w:ascii="Times New Roman" w:hAnsi="Times New Roman" w:eastAsia="宋体" w:cs="Times New Roman"/>
          <w:sz w:val="24"/>
          <w:szCs w:val="24"/>
          <w:lang w:val="en-US" w:eastAsia="zh-CN"/>
        </w:rPr>
        <w:t>3.1.10环评结论</w:t>
      </w:r>
      <w:bookmarkEnd w:id="3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综上所述，本工程在真正落实各项环境影响减缓措施的基础上，从环境保护角度，项目建设是可行的。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39" w:name="_Toc19703"/>
      <w:r>
        <w:rPr>
          <w:rFonts w:hint="eastAsia" w:ascii="Times New Roman" w:hAnsi="Times New Roman" w:eastAsia="宋体" w:cs="Times New Roman"/>
          <w:sz w:val="24"/>
          <w:szCs w:val="24"/>
          <w:lang w:val="en-US" w:eastAsia="zh-CN"/>
        </w:rPr>
        <w:t>3.2环境影响评价报告建议</w:t>
      </w:r>
      <w:bookmarkEnd w:id="39"/>
    </w:p>
    <w:p>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本项目沿线均存在地质灾害危险可能，在下阶段的设计中，需进行详细勘察，工程建设应严格按照已编制的地质灾害危险性评估报告书实施。</w:t>
      </w:r>
    </w:p>
    <w:p>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建设单位应保证拆迁安置费用及时足量到位，以落实各项规划的安置对策，不让失地农民失去生活保障。</w:t>
      </w:r>
    </w:p>
    <w:p>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项目建设应按已制定的工程水土保持方案严格实施。</w:t>
      </w:r>
    </w:p>
    <w:p>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本评价是以工程可研报告为依据，随着设计的不断深入和优化，工可阶段的环境敏感点与拟建工程的相对位置可能发生变化，因此，在工程施工及将来的验收中，应结合实际予以考虑</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40" w:name="_Toc12591"/>
      <w:r>
        <w:rPr>
          <w:rFonts w:hint="eastAsia" w:ascii="Times New Roman" w:hAnsi="Times New Roman" w:eastAsia="宋体" w:cs="Times New Roman"/>
          <w:sz w:val="24"/>
          <w:szCs w:val="24"/>
          <w:lang w:val="en-US" w:eastAsia="zh-CN"/>
        </w:rPr>
        <w:t>3.3环境影响评价报告批复</w:t>
      </w:r>
      <w:bookmarkEnd w:id="4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2009年04月03日，贵州省环境保护厅对本工程环评报告作出批复，其批复文件为《关于贵阳高新技术产业经济带沙文生态科技产业园麦沙大道道路工程环境影响评价报告书的批复》（黔环函[2009]186号）文件。现将批复文件主要内容摘录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一、《报告书》内容较全面，结论明确，提出的各项生态保护和污染防治措施基本可行，可以作为该项目工程设计、施工及环境管理的依据。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麦沙大道道路工程地处城区北部，起于白云北路延伸段，总体走向为东北方向，先后经K2+020处麦架河、规划金苏大道、K4+700处麦架河、210国道、贵遵路，终于规划的盐沙路终点。本工程为城市道路I级主干道，全长约7000m（其中沙文镇约800m长路段为拓宽改造），红线宽60m，设计车速为60km/h,路面结构为沥青混凝土路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该工程符合《贵阳市城市道路网规划》、《白云区控制性详细规划》、《贵阳高新技术经济带沙文生态科技产业园控制性详细规划》，贵阳市发展和改革委员会已经批准该项目立项（筑发改投字〔2008〕426号）。在全面落实报告书提出的各 项防治生态破坏和环境污染措施的前提下，我局同意该工程按 拟选方案进行建设。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二、项目建设和运行管理中应重点做好以下工作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（一）</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做好拆迁安置的环境保护工作，防止次生环境问题。进一步优线路方案，降低高填深挖带来的生态环境破坏。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（二）</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加强施工期环境管理。施工营地应选址在保护目标下风向300米以外并远离主要水体。施工生活污水经处理后回于施工活动，设置旱厕，粪便用作农肥综合利用或按相关主管部门要求处置。施工废水经处理后，尽量全部回用于施工活动，剩余部分用于开挖路面洒水降尘。妥善处理桥梁孔桩施工产生的废渣、废泥浆、污水，防止桥梁施工产生环境污染。生活垃圾送城市生活垃圾处理场。采取洒水、密闭运输、清洗 运输工具等措施，防止施工扬尘、渣土对环境的影响。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（三）</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合理组织施工，保证施工期现有各种管、线、沟、渠、河流、道路等通道的畅通。做好土石方量平衡，控制施工期水土流失，减少建筑垃圾产生，表土集中堆存并用于绿化，合理选址临时堆场并做好扬尘和水土流失防止工作，弃（土）渣及时清运至K5+600~K5+850段道路南侧弃渣场妥善处置。工程不设置沥青、混凝土拌合站和料场，所需沥青、混凝土、砂石料外购。工程结束后，及时清理和恢复施工迹地，对渣场进行生态恢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（四）</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做好施工期噪声污染治工作。合理安排施工时间，禁止夜间施工，减缓施工噪声的污染影响，防止施工活动干扰学校等敏感目标的正常运转。采取有效措施确保施工期噪声满足《建筑施工场界噪声限值》（GB12523-90）标准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（五）</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釆取完善交通标识、绿化、搬迁、隔声等工程措施，加强交通组织管理，确保营运期亮天寨、高坡村、沙子坡、董柴坝、麻保组、麻保小学、王家院、潘家湾、沙文镇、沙文中学等声环境敏感目标和该工程沿线声环境质量达到相应功能区标准要求。加强对沿线噪声敏感点跟踪监测，根据噪声实测结果及时采取防治措施。积极配合地方人民政府合理规划沿线土地的使用，禁止在线路两侧新建学校、医院、住宅等噪声敏感建筑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（六）</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做好K1+760路右印台山地下水井的保护，严禁在水井周围设置施工营地、弃土场、材料堆放场等，防止施工活动影响其水质、水量，并落实饮用该泉水的高坡村亮天寨的应急、替代供水方案。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（七）</w:t>
      </w:r>
      <w:r>
        <w:rPr>
          <w:rFonts w:hint="eastAsia" w:ascii="Times New Roman" w:hAnsi="Times New Roman" w:eastAsia="宋体" w:cs="Times New Roman"/>
          <w:sz w:val="24"/>
          <w:szCs w:val="24"/>
          <w:lang w:val="en-US" w:eastAsia="zh-CN"/>
        </w:rPr>
        <w:tab/>
      </w:r>
      <w:r>
        <w:rPr>
          <w:rFonts w:hint="eastAsia" w:ascii="Times New Roman" w:hAnsi="Times New Roman" w:eastAsia="宋体" w:cs="Times New Roman"/>
          <w:sz w:val="24"/>
          <w:szCs w:val="24"/>
          <w:lang w:val="en-US" w:eastAsia="zh-CN"/>
        </w:rPr>
        <w:t>制定事故应急预案，落实环境风险防范措施，强化跨河桥梁防撞设计，营运期严格控制危险品运输车辆通行，防止危险品运输车辆发生交通事故进而引发环境污染事故。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三、在初步设计环保篇章中落实防治生态破坏和环境污染的各项措施及投资。开展工程环境监理，在施工招标文件、施工合同和工程监理招标文件中明确环保条款和责任，定期向当地环保局提交施工期环境监理报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四、项目建设必须严格执行环境保护设施及措施与主体工程同时设计、同时施工、同时投产使用的环境保护“三同时”制度。工程开工后按季度向白云区环保局报告工程进展和环保“三同时”执行情况。项目竣工后，建设单位必须按规定程序向我局申请竣工环保验收。验收合格后，项目方可正式投入运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五、我局委托白云区环保局负责该项目施工期和营运期的环境监管工作。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六、你单位应在接到本批复后10日内，将本批复和项目环境影响报告书送贵阳市环保局、云区环保局，并主动接受各级环保部门的监督检查。</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41" w:name="_Toc30910"/>
      <w:r>
        <w:rPr>
          <w:rFonts w:hint="eastAsia" w:ascii="Times New Roman" w:hAnsi="Times New Roman" w:eastAsia="宋体" w:cs="Times New Roman"/>
          <w:b/>
          <w:bCs/>
          <w:sz w:val="24"/>
          <w:szCs w:val="24"/>
          <w:lang w:val="en-US" w:eastAsia="zh-CN"/>
        </w:rPr>
        <w:t>4 环保措施落实情况</w:t>
      </w:r>
      <w:bookmarkEnd w:id="4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州省环境科学研究设计院于2009年03月完成《贵阳高新技术产业经济带沙文生态科技产业园麦沙大道道路工程环境影响评价报告书》的编制，并于2009年04月03日取得贵州省环境保护厅《关于贵阳高新技术产业经济带沙文生态科技产业园麦沙大道道路工程环境影响评价报告书的批复》（黔环函[2009]186号）文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sz w:val="24"/>
          <w:szCs w:val="24"/>
          <w:lang w:val="en-US" w:eastAsia="zh-CN"/>
        </w:rPr>
        <w:t>贵州明德工程咨询有限公司于</w:t>
      </w:r>
      <w:r>
        <w:rPr>
          <w:rFonts w:hint="eastAsia" w:ascii="Times New Roman" w:hAnsi="Times New Roman" w:eastAsia="宋体" w:cs="Times New Roman"/>
          <w:color w:val="auto"/>
          <w:sz w:val="24"/>
          <w:szCs w:val="24"/>
          <w:lang w:val="en-US" w:eastAsia="zh-CN"/>
        </w:rPr>
        <w:t>2020年04月22日对本工程项目进行现场调查及踏勘。根据现场调查走访，本工程在施工和运营阶段的环保措施落实情况见表4-1。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lang w:val="en-US" w:eastAsia="zh-CN"/>
        </w:rPr>
        <w:sectPr>
          <w:pgSz w:w="11906" w:h="16838"/>
          <w:pgMar w:top="1440" w:right="1800" w:bottom="1440" w:left="180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表4-1 环境保护措施落实情况一览表</w:t>
      </w:r>
    </w:p>
    <w:tbl>
      <w:tblPr>
        <w:tblStyle w:val="10"/>
        <w:tblW w:w="142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151"/>
        <w:gridCol w:w="8833"/>
        <w:gridCol w:w="1706"/>
        <w:gridCol w:w="1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专题</w:t>
            </w:r>
          </w:p>
        </w:tc>
        <w:tc>
          <w:tcPr>
            <w:tcW w:w="88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环评要求</w:t>
            </w:r>
          </w:p>
        </w:tc>
        <w:tc>
          <w:tcPr>
            <w:tcW w:w="170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批复要求</w:t>
            </w:r>
          </w:p>
        </w:tc>
        <w:tc>
          <w:tcPr>
            <w:tcW w:w="19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生态环境</w:t>
            </w:r>
          </w:p>
        </w:tc>
        <w:tc>
          <w:tcPr>
            <w:tcW w:w="88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（1）合理规划，作好土石方挖填平衡和纵向调运，减少临时占地与借土占地。做好山体开挖后的绿化措施，避免造成大的景观影响。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（2）加强施工人员的环境保护教育，增强环保意识，在施工中不乱砍伐树木，取土、弃土，应按设计要求进行。减少对作业区周围草地、灌木丛的破坏，施工营地不准设在林地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（3）施工人员应爱护和保护野生动物，不得捕杀野生动物，在道路施工过程中若遇到野生动物时，应及时把它们移到远离公路的地方放生。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（4）工程弃土场要做好挡土墙，按先挡后弃的原则，分期安排挡墙工程。于弃土的顶部及侧部设置排水沟，避免雨水直接冲刷。在弃渣场的裸露部分撒播草籽进行绿化。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（5）路基成形后即应按绿化设计要求对环境设施带进行绿化栽植。在道路营运2～3年内，道路沿线植被覆盖率应恢复到原有水平。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（6）严格按照爆破技术规范进行、选择合适的季节进行爆破。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（7）临时堆场尽量选择荒地或耕作条件较差的土地，工程结束后予以清理、复绿，以补偿临时占地造成的绿地损失。</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（8）建设单位应将所占耕地的耕作层土壤堆在一边，用于新开垦耕地、劣质地或其它耕地的土壤改良。</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工程施工中应尽量避免占用耕地，特别应尽量少占用基本农田。对占用的耕地要及时按照相关政策进行补偿，帮助农民实行产业结构调整，使失去十地的农民的生产和生活不低于征地前的水平；工程完工后应及时对临时用地和部分弃渣场进行复耕以减少对耕地的占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对占用的基本农田，除依照《中华人民共和国工地管理法》和有关政法规的规定交纳税费外，并应当按照占多少，恳多少的原则，由占用单位或入人负责开垦与拟建公路所占基本农田的数量与质量相当的耕地；没有条件开垦或者开垦的耕地不符合要求的，由用地单位或个人，按照责州省的规定缴纳耕地开垦费，向所占基本农田的区（市）土地主管部门缴纳耕地造地费，</w:t>
            </w:r>
          </w:p>
        </w:tc>
        <w:tc>
          <w:tcPr>
            <w:tcW w:w="170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理组织施工，保证施工期现有各种管、线、沟、渠、河流、道路等通道的畅通。做好土石方量平衡，控制施工期水土流失，减少建筑垃圾产生，表土集中堆存并用于绿化，合理选址临时堆场并做好扬尘和水土流失防止工作，弃（土）渣及时清运至K5+600~K5+850段道路南侧弃渣场妥</w:t>
            </w:r>
          </w:p>
        </w:tc>
        <w:tc>
          <w:tcPr>
            <w:tcW w:w="1955" w:type="dxa"/>
            <w:vAlign w:val="center"/>
          </w:tcPr>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本项目高填深挖路段较少，山体开挖较少，未造成大的景观影响；</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本项目施工营地设置于王家院附近，占地为耕地，未占用林地，对周围草地、灌木丛、树木等破坏较小；</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施工期间未出现捕杀野生动物现象；</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弃土场设于K5+600处，此处为低洼地，现已平整，周边绿化，施已的到完善。无重大环境问题产生；</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沿线植被已基本恢复，绿化设施已得到完善；</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临时堆场已按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1</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生态环境</w:t>
            </w:r>
          </w:p>
        </w:tc>
        <w:tc>
          <w:tcPr>
            <w:tcW w:w="883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专款用于开恳新的耕地。经国务院批准占用基本农田的，当地人民政府应当按照国务院的批准文件修改土地利用总体规划，并补充划入数量和质量相当的基本农田。占用基本农田的单位应当按照县级地方人民政府的要求，将所占用的基本农田耕作层的壤用于新开垦的耕地、劣质地或其它耕地的土壤改良。在下阶段的设计中，应在满足技术标准的前提下，尽量减少基本农田的占用，在穿越基本农田较多的路段，应采取桥梁或收缩路基边坡方案，并保证保护及时恢复农田灌溉系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运营期：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应按道路设计要求，完成拟建道路边坡、道路征地范围内可绿化地面的植树种草工作，以达到恢复植被、减少水土流失、减少雨季路面径流污染路侧水休目的；做好临时施工营地、堆渣场、施工便道等临时古地的植被恢复和绿化的实植被恢复计划。首先，道路绿化工程是一项系统的工程，应在主体工积初步竣工，边坡等工程基本完成后进行植被恢复或复坚。其次，绿化的具体建议如下：边坡绿化应以适应当地生长的草坪植物、藤本或低濯木为主；行道树应以杨树、槐树为主。</w:t>
            </w:r>
          </w:p>
        </w:tc>
        <w:tc>
          <w:tcPr>
            <w:tcW w:w="170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善处置。工程不设置沥青、混凝土拌合站和料场，所需沥青、混凝土、砂石料外购。工程结束后，及时清理和恢复施工迹地，对渣场进行生态恢复。</w:t>
            </w:r>
          </w:p>
        </w:tc>
        <w:tc>
          <w:tcPr>
            <w:tcW w:w="1955"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要求清理复绿，无环境问题遗留；</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施工期有计划有规划选址耕地等的占用，有效减少耕地损失；</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施工结束后，已按要求及时清理施工痕迹，边坡绿化等；</w:t>
            </w:r>
          </w:p>
          <w:p>
            <w:pPr>
              <w:keepNext w:val="0"/>
              <w:keepLines w:val="0"/>
              <w:pageBreakBefore w:val="0"/>
              <w:widowControl w:val="0"/>
              <w:numPr>
                <w:ilvl w:val="0"/>
                <w:numId w:val="23"/>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道路沿线行道树已种植完善，长势良好，道路中心隔离带绿化设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水环境</w:t>
            </w:r>
          </w:p>
        </w:tc>
        <w:tc>
          <w:tcPr>
            <w:tcW w:w="883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施工区设置旱厕，并设置化粪池将粪便污水集中收集并初步处理，化粪池上清液鼓励当地农民作为农家肥使用或联系当地环卫部门定期清运处理，施工结束后将旱厕和化粪池覆土掩埋。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施工区生产废水主要来源于机械车辆维修冲洗废水和混凝土拌和车、罐车冲洗废水等，产生的生产废水经沉淀隔油处理后回用。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在临近印台山水井路段施工时，严禁将生产废水、废料等排入水井，生产废水经沉淀后回收利用，生产废料就近排入弃土场。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营运期：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sz w:val="21"/>
                <w:szCs w:val="21"/>
                <w:lang w:val="en-US" w:eastAsia="zh-CN"/>
              </w:rPr>
              <w:t>严格执行危险品运输规定，危险品运输车辆，必须有明显标志，运输过程中，以便引起其他车辆的重视。一旦事故发生，应及时迅速报警，及时通知有关路政、消防、环保部门，采取</w:t>
            </w:r>
          </w:p>
        </w:tc>
        <w:tc>
          <w:tcPr>
            <w:tcW w:w="170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施工营地应选址在保护目标下风向300米以外并远离主要水体。施工生活污水经处理后回于施工活动，设置旱厕，粪便用作农肥综合利用或按相关主管部门要求处</w:t>
            </w:r>
          </w:p>
        </w:tc>
        <w:tc>
          <w:tcPr>
            <w:tcW w:w="1955"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经现场调查，印台山水井已被掩埋，此处居民已大部分完成搬迁。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从贵州明德工程咨询有限公司的监测结果可以看出麦架河水质达到</w:t>
            </w:r>
            <w:r>
              <w:rPr>
                <w:rFonts w:hint="eastAsia" w:ascii="宋体" w:hAnsi="宋体" w:eastAsia="宋体" w:cs="宋体"/>
                <w:color w:val="auto"/>
                <w:sz w:val="21"/>
                <w:szCs w:val="21"/>
                <w:vertAlign w:val="baseline"/>
                <w:lang w:val="en-US" w:eastAsia="zh-CN"/>
              </w:rPr>
              <w:t>Ⅲ类水标准。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水环境</w:t>
            </w:r>
          </w:p>
        </w:tc>
        <w:tc>
          <w:tcPr>
            <w:tcW w:w="883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应急措施；加强对驾驶员的安全意识教育和职业道德教育，以减少人为交通事故的发生。在泄漏事故发生后应及时采取有效的污染控制措施，严禁化学品进入麦架河，以确保水体不受污染；为防止车辆失控掉入沿线河流和印台山水井造成水质污染，应对麦架河桥两侧和印台山水井临路一侧设置防撞护栏；该道路营运期间由于无服务区和养护区等设施，因此对水环境影响较小；本项目营运期，路面雨水经道路两侧的截水沟收集后就近排入水体；要求跨越水体的麦架河桥两侧设置截水沟将初期雨水引出桥面，同时还需设置3处雨水收集池（在事故时作为应急池）用于接纳引出的污水。</w:t>
            </w:r>
          </w:p>
        </w:tc>
        <w:tc>
          <w:tcPr>
            <w:tcW w:w="170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置。施工废水经处理后，尽量全部回用于施工活动，剩余部分用于开挖路面洒水降尘。妥善处理桥梁孔桩施工产生的废渣、废泥浆、污水，防止桥梁施工产生环境污染。生活垃圾送城市生活垃圾处理场。采取洒水、密闭运输、清洗 运输工具等措施，防止施工扬尘、渣土对环境的影响。</w:t>
            </w:r>
          </w:p>
        </w:tc>
        <w:tc>
          <w:tcPr>
            <w:tcW w:w="1955"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该项目已建立相应的应急预案措施，</w:t>
            </w:r>
            <w:r>
              <w:rPr>
                <w:rFonts w:hint="eastAsia" w:ascii="Times New Roman" w:hAnsi="Times New Roman" w:eastAsia="宋体" w:cs="Times New Roman"/>
                <w:sz w:val="21"/>
                <w:szCs w:val="21"/>
                <w:lang w:val="en-US" w:eastAsia="zh-CN"/>
              </w:rPr>
              <w:t>路面雨水经道路两侧的截水沟收集后就近排入水体；要求跨越水体的麦架河桥两侧设置截水沟将初期雨水引出桥面，同时还需设置2处雨水收集池（在事故时作为应急池）用于接纳引出的污水。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声环境</w:t>
            </w:r>
          </w:p>
        </w:tc>
        <w:tc>
          <w:tcPr>
            <w:tcW w:w="883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施工时尽量选用低噪声设备，所选设备必须符合国家有关标准的要求，震动较大的固定机械设备应加装减振机座，固定强噪声源应考虑加装隔音罩，同时加强设备的维护和保养，保持其良好运转，以便从源头上降低施工机械的噪声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（2）强噪声机械施工作业时间应和校方商定，尽量不在学校考试时间和上课时间施工；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（3）避免高噪声设备同时运营；</w:t>
            </w:r>
          </w:p>
        </w:tc>
        <w:tc>
          <w:tcPr>
            <w:tcW w:w="170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合理安排施工时间，禁止夜间施工，减缓施工噪声的污染影响，防止施工活动干扰学校等敏感目</w:t>
            </w:r>
          </w:p>
        </w:tc>
        <w:tc>
          <w:tcPr>
            <w:tcW w:w="1955"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经现场调查，施工期间已按要求实施了相关设施，无相关投诉现象产生，无环境问题产生。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声环境</w:t>
            </w:r>
          </w:p>
        </w:tc>
        <w:tc>
          <w:tcPr>
            <w:tcW w:w="883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（4）对教学楼和办公楼采取抽样监测，视监测结果采取移动式或临时声屏 障等防噪措施；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（5）建设单位应责成施工单位在施工现场标明张布通告和投诉电话，建设单位在接到报案后应及时与当地环保部门取得联系，以便及时处理各种环境纠 纷；</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噪声大的施工器械在夜间（22：00～06：00）、昼间（12：00～14：00）及学生考试时间停止施工。若必须连续施工作业，施工单位应视具体情况及时与当地环保部门取得联系，按规定申领夜间施工证，同时发布公告最大限度的争取学校的支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运营期：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对预测结果中营运近期出现超标的各敏感点采取相应的防治对策：亮天寨、高坡村、沙子坡、麻堡组、王家院、潘家湾、沙文镇、沙文中学等敏感点设置通风隔声窗，共需费用129.88万元。在村寨集镇处设置限速、禁鸣等措施，以最大限度降低车辆运行噪声对居民产生影响。采取措施后各敏感点均能达到《声环境质量标准》（GB3096-2008）中相关标准的要求。</w:t>
            </w:r>
          </w:p>
        </w:tc>
        <w:tc>
          <w:tcPr>
            <w:tcW w:w="170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标的正常运转。采取有效措施确保施工期噪声满足《建筑施工场界噪声限值》（GB12523-90）标准要求。</w:t>
            </w:r>
          </w:p>
        </w:tc>
        <w:tc>
          <w:tcPr>
            <w:tcW w:w="1955"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auto"/>
                <w:sz w:val="21"/>
                <w:szCs w:val="21"/>
                <w:vertAlign w:val="baseline"/>
                <w:lang w:val="en-US" w:eastAsia="zh-CN"/>
              </w:rPr>
              <w:t>从贵州明德工程咨询有限公司的监测结果可以看出运营期噪声敏感点</w:t>
            </w:r>
            <w:r>
              <w:rPr>
                <w:rFonts w:hint="default" w:ascii="Times New Roman" w:hAnsi="Times New Roman" w:eastAsia="宋体" w:cs="Times New Roman"/>
                <w:sz w:val="21"/>
                <w:szCs w:val="21"/>
                <w:lang w:val="en-US" w:eastAsia="zh-CN"/>
              </w:rPr>
              <w:t>均能达到《声环境质量标准》（GB3096-20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color w:val="auto"/>
                <w:sz w:val="21"/>
                <w:szCs w:val="21"/>
                <w:vertAlign w:val="baseline"/>
                <w:lang w:val="en-US" w:eastAsia="zh-CN"/>
              </w:rPr>
            </w:pPr>
            <w:r>
              <w:rPr>
                <w:rFonts w:hint="default" w:ascii="Times New Roman" w:hAnsi="Times New Roman" w:eastAsia="宋体" w:cs="Times New Roman"/>
                <w:sz w:val="21"/>
                <w:szCs w:val="21"/>
                <w:lang w:val="en-US" w:eastAsia="zh-CN"/>
              </w:rPr>
              <w:t>08）</w:t>
            </w:r>
            <w:r>
              <w:rPr>
                <w:rFonts w:hint="eastAsia" w:ascii="Times New Roman" w:hAnsi="Times New Roman" w:eastAsia="宋体" w:cs="Times New Roman"/>
                <w:sz w:val="21"/>
                <w:szCs w:val="21"/>
                <w:lang w:val="en-US" w:eastAsia="zh-CN"/>
              </w:rPr>
              <w:t>中的相关标准要求</w:t>
            </w:r>
            <w:r>
              <w:rPr>
                <w:rFonts w:hint="eastAsia" w:ascii="宋体" w:hAnsi="宋体" w:eastAsia="宋体" w:cs="宋体"/>
                <w:color w:val="auto"/>
                <w:sz w:val="21"/>
                <w:szCs w:val="21"/>
                <w:vertAlign w:val="baseli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color w:val="auto"/>
                <w:sz w:val="21"/>
                <w:szCs w:val="21"/>
                <w:vertAlign w:val="baseline"/>
                <w:lang w:val="en-US" w:eastAsia="zh-CN"/>
              </w:rPr>
            </w:pP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亮天寨高坡村、沙子坡、麻堡组、王家院、潘家湾</w:t>
            </w:r>
            <w:r>
              <w:rPr>
                <w:rFonts w:hint="eastAsia" w:ascii="Times New Roman" w:hAnsi="Times New Roman" w:eastAsia="宋体" w:cs="Times New Roman"/>
                <w:sz w:val="21"/>
                <w:szCs w:val="21"/>
                <w:lang w:val="en-US" w:eastAsia="zh-CN"/>
              </w:rPr>
              <w:t>等敏感点已大部分完成搬迁，</w:t>
            </w:r>
            <w:r>
              <w:rPr>
                <w:rFonts w:hint="default" w:ascii="Times New Roman" w:hAnsi="Times New Roman" w:eastAsia="宋体" w:cs="Times New Roman"/>
                <w:sz w:val="21"/>
                <w:szCs w:val="21"/>
                <w:lang w:val="en-US" w:eastAsia="zh-CN"/>
              </w:rPr>
              <w:t>沙文镇、沙文中学等敏感点</w:t>
            </w:r>
            <w:r>
              <w:rPr>
                <w:rFonts w:hint="eastAsia" w:ascii="Times New Roman" w:hAnsi="Times New Roman" w:eastAsia="宋体" w:cs="Times New Roman"/>
                <w:sz w:val="21"/>
                <w:szCs w:val="21"/>
                <w:lang w:val="en-US" w:eastAsia="zh-CN"/>
              </w:rPr>
              <w:t>未按要求</w:t>
            </w:r>
            <w:r>
              <w:rPr>
                <w:rFonts w:hint="default" w:ascii="Times New Roman" w:hAnsi="Times New Roman" w:eastAsia="宋体" w:cs="Times New Roman"/>
                <w:sz w:val="21"/>
                <w:szCs w:val="21"/>
                <w:lang w:val="en-US" w:eastAsia="zh-CN"/>
              </w:rPr>
              <w:t>设置通风隔声窗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环境空气</w:t>
            </w:r>
          </w:p>
        </w:tc>
        <w:tc>
          <w:tcPr>
            <w:tcW w:w="883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施工期：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在施工场地应采取洒水抑尘措施，每天洒水4~5次，可以减少扬尘70%左右；建筑材料包括灰沙、土方的运输必需使用经改装后加有盖板的车辆，避免沿途撒落</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路面沥青材料外购环保部门验收认可的产品；工程开挖方应集中堆放，以缩小粉尘影响范围，及时回填，减小粉尘影响时间。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运营期：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加强交通管理和提供良好的行驶条件，周期、随机调查机动车噪声和尾气，若调查的机动车不能满足噪声及尾气排放标准，应采取措施禁止这些机动车的通行。</w:t>
            </w:r>
          </w:p>
        </w:tc>
        <w:tc>
          <w:tcPr>
            <w:tcW w:w="170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采取洒水、密闭运输、清洗 运输工具等措施，防止施工扬尘、渣土对环境的影响。</w:t>
            </w:r>
          </w:p>
        </w:tc>
        <w:tc>
          <w:tcPr>
            <w:tcW w:w="1955"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经现场调查，施工期基本按照环评要求进行施工，无环境问题遗留；从验收期间的监测结果看出，运营期环境空气监测结果达到《环境空气质量标准》（3095-2012）二级标准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15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固体废物</w:t>
            </w:r>
          </w:p>
        </w:tc>
        <w:tc>
          <w:tcPr>
            <w:tcW w:w="883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施工期固废主要有弃方和生活垃圾，弃方运往弃土场，生活垃圾及时清运；运营期加强道路环卫管理，及时清扫。</w:t>
            </w:r>
          </w:p>
        </w:tc>
        <w:tc>
          <w:tcPr>
            <w:tcW w:w="170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p>
        </w:tc>
        <w:tc>
          <w:tcPr>
            <w:tcW w:w="1955"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已按要求实施</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宋体" w:cs="Times New Roman"/>
          <w:color w:val="auto"/>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b/>
          <w:bCs/>
          <w:sz w:val="24"/>
          <w:szCs w:val="24"/>
          <w:lang w:val="en-US" w:eastAsia="zh-CN"/>
        </w:rPr>
      </w:pPr>
      <w:bookmarkStart w:id="42" w:name="_Toc22940"/>
      <w:r>
        <w:rPr>
          <w:rFonts w:hint="eastAsia" w:ascii="Times New Roman" w:hAnsi="Times New Roman" w:eastAsia="宋体" w:cs="Times New Roman"/>
          <w:b/>
          <w:bCs/>
          <w:sz w:val="24"/>
          <w:szCs w:val="24"/>
          <w:lang w:val="en-US" w:eastAsia="zh-CN"/>
        </w:rPr>
        <w:t>5 施工期环境影响调查</w:t>
      </w:r>
      <w:bookmarkEnd w:id="4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3" w:name="_Toc5076"/>
      <w:r>
        <w:rPr>
          <w:rFonts w:hint="eastAsia" w:ascii="Times New Roman" w:hAnsi="Times New Roman" w:eastAsia="宋体" w:cs="Times New Roman"/>
          <w:sz w:val="24"/>
          <w:szCs w:val="24"/>
          <w:lang w:val="en-US" w:eastAsia="zh-CN"/>
        </w:rPr>
        <w:t>5.1生态环境</w:t>
      </w:r>
      <w:bookmarkEnd w:id="4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本工程道路沿线无珍惜动植物、古树等，主要生态环境为道路沿线基本农田、林地、植被等。</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工程期间选择合理的施工便道线路，避免了破坏大量森林植被，减小了对周边植被的破坏。</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严格控制了路基开挖、隧道洞口开挖施工作业面，避免了超挖破坏周围植被。</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工程施工过程中，工程废渣未随处乱排，未排入河中。弃土（渣）场不占用基本农田。</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施工工区等临时建筑尽可能采用了成品或简易拼装方式，减轻对土壤及植被的破坏。</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路基施工和弃土（渣）场施工前，将农用地的表土层剥离，并在适当位置进行集中堆放，并采取临时拦挡和覆盖措施，后期用于绿化和土地复垦。</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路线尽量减少占用耕地，对于坡面工程及时采取工程或植物防护措施。</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因公路施工破坏植被而裸露的土地在施工结束后已整治利用，恢复植被。</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施工场地未设在耕地（尤其是水田）集中区内，施工便道亦未设在耕地（尤其是水田）集中区，未在基本农田保护区范围内设置各类临时工程。</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桥梁构件预制场、灰土拌和场、沥青搅拌站和建材堆放场等临时用地基本布设在公路用地范围内。</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施工营地部分租用当地民房或公共房屋，其余布设在公路用地范围内。</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施工营地、料场、施工便道等临时工程用后已恢复。</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t>弃土（渣）场选择在洼地，并对弃土方进行压实，在其表面进</w:t>
      </w:r>
      <w:r>
        <w:rPr>
          <w:rFonts w:hint="default" w:ascii="Times New Roman" w:hAnsi="Times New Roman" w:cs="Times New Roman"/>
        </w:rPr>
        <w:t>行植被覆盖。</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施工期严格按照相关法规及施工设计文件施工，未随意扩大取、弃土（渣） 场占地面积，未将取、弃土（渣）场设在基本农田内。</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堆土场、施工场地等临时占地充分利用了互通立交的空地，缩减了部分临时占地面积。</w:t>
      </w:r>
    </w:p>
    <w:p>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t>施工结束后根据不同的地区特点对临时占地采取了植被恢复措施。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4" w:name="_Toc1126"/>
      <w:r>
        <w:rPr>
          <w:rFonts w:hint="eastAsia" w:ascii="Times New Roman" w:hAnsi="Times New Roman" w:eastAsia="宋体" w:cs="Times New Roman"/>
          <w:sz w:val="24"/>
          <w:szCs w:val="24"/>
          <w:lang w:val="en-US" w:eastAsia="zh-CN"/>
        </w:rPr>
        <w:t>5.2水环境</w:t>
      </w:r>
      <w:bookmarkEnd w:id="44"/>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建筑材料的临时堆放加盖篷布及围挡，有效防止因雨水冲刷而造成水体污染；</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施工区域设置排污沟、截水沟、沉淀池等对施工废水进行处理并回收利用，无外排；</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桥梁施工区域完善环境保护设施，对施工废渣、岩浆、淤泥等就近运往弃土场，禁止排入河流；生产废水经沉淀处理回用，禁止排入河流；</w:t>
      </w:r>
    </w:p>
    <w:p>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生活污水经处理后用于农灌，未直接排入水体。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5" w:name="_Toc29678"/>
      <w:r>
        <w:rPr>
          <w:rFonts w:hint="eastAsia" w:ascii="Times New Roman" w:hAnsi="Times New Roman" w:eastAsia="宋体" w:cs="Times New Roman"/>
          <w:sz w:val="24"/>
          <w:szCs w:val="24"/>
          <w:lang w:val="en-US" w:eastAsia="zh-CN"/>
        </w:rPr>
        <w:t>5.3环境空气</w:t>
      </w:r>
      <w:bookmarkEnd w:id="45"/>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本工程不设沥青拌合场等，所使用沥青、砂石、水泥等建筑材料均采取外购；</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砂石等临时堆放采用篷布遮盖，建材运输路线采取洒水措施，防止扬尘；</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采取湿式作业，降低了施工扬尘；</w:t>
      </w:r>
    </w:p>
    <w:p>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施工营地炊事、取暖等使用液化气、电灯清洁能源，减少了废气污染。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6" w:name="_Toc17609"/>
      <w:r>
        <w:rPr>
          <w:rFonts w:hint="eastAsia" w:ascii="Times New Roman" w:hAnsi="Times New Roman" w:eastAsia="宋体" w:cs="Times New Roman"/>
          <w:sz w:val="24"/>
          <w:szCs w:val="24"/>
          <w:lang w:val="en-US" w:eastAsia="zh-CN"/>
        </w:rPr>
        <w:t>5.4声环境</w:t>
      </w:r>
      <w:bookmarkEnd w:id="46"/>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合理安排了作业时间以及选用低噪设备，降低了噪声对施工沿线居民、学校等的影响；</w:t>
      </w:r>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加强了设备维护，保持低噪作业，运输车辆禁止鸣笛；</w:t>
      </w:r>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为减少施工期间的材料运输、敲击、人的喊叫等施工活动声源，承包商通过文明施工、加强有效管理加以缓解。</w:t>
      </w:r>
    </w:p>
    <w:p>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对距居民区 100m 以内的施工现场，噪声大的施工机具在夜间（22:00～06:00）停止施工。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7" w:name="_Toc2641"/>
      <w:r>
        <w:rPr>
          <w:rFonts w:hint="eastAsia" w:ascii="Times New Roman" w:hAnsi="Times New Roman" w:eastAsia="宋体" w:cs="Times New Roman"/>
          <w:sz w:val="24"/>
          <w:szCs w:val="24"/>
          <w:lang w:val="en-US" w:eastAsia="zh-CN"/>
        </w:rPr>
        <w:t>5.5固体废物</w:t>
      </w:r>
      <w:bookmarkEnd w:id="47"/>
    </w:p>
    <w:p>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施工期施工人员居住场地附近设置临时垃圾集中堆放场地，定期清运至附近垃圾处理场处置。施工结束后，施工场地及时平整，建筑垃圾部分用于场地回填，不可利用部分与施工人员生活垃圾一起统一收集送附近垃圾处理场处置。</w:t>
      </w:r>
    </w:p>
    <w:p>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加强了施工期现场管理，及时清理拆迁了建筑垃圾和建筑废料</w:t>
      </w:r>
      <w:r>
        <w:rPr>
          <w:rFonts w:hint="eastAsia" w:ascii="Times New Roman" w:hAnsi="Times New Roman" w:eastAsia="宋体" w:cs="Times New Roman"/>
          <w:sz w:val="24"/>
          <w:szCs w:val="24"/>
          <w:lang w:val="en-US" w:eastAsia="zh-CN"/>
        </w:rPr>
        <w:t>，妥善处理。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48" w:name="_Toc3618"/>
      <w:r>
        <w:rPr>
          <w:rFonts w:hint="eastAsia" w:ascii="Times New Roman" w:hAnsi="Times New Roman" w:eastAsia="宋体" w:cs="Times New Roman"/>
          <w:sz w:val="24"/>
          <w:szCs w:val="24"/>
          <w:lang w:val="en-US" w:eastAsia="zh-CN"/>
        </w:rPr>
        <w:t>5.6小结</w:t>
      </w:r>
      <w:bookmarkEnd w:id="4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建设单位和施工单位在施工期针对产生的水、气、声、生态等方面的影响采取了环保措施，有效降低了工程施工作业对沿线生态环境、地表水、环境空气和声环境的影响。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sz w:val="24"/>
          <w:szCs w:val="24"/>
          <w:lang w:val="en-US" w:eastAsia="zh-CN"/>
        </w:rPr>
      </w:pPr>
      <w:bookmarkStart w:id="49" w:name="_Toc20322"/>
      <w:r>
        <w:rPr>
          <w:rFonts w:hint="eastAsia" w:ascii="Times New Roman" w:hAnsi="Times New Roman" w:eastAsia="宋体" w:cs="Times New Roman"/>
          <w:b/>
          <w:bCs/>
          <w:sz w:val="24"/>
          <w:szCs w:val="24"/>
          <w:lang w:val="en-US" w:eastAsia="zh-CN"/>
        </w:rPr>
        <w:t>6 运营期环境影响调查</w:t>
      </w:r>
      <w:bookmarkEnd w:id="4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50" w:name="_Toc1979"/>
      <w:r>
        <w:rPr>
          <w:rFonts w:hint="eastAsia" w:ascii="Times New Roman" w:hAnsi="Times New Roman" w:eastAsia="宋体" w:cs="Times New Roman"/>
          <w:sz w:val="24"/>
          <w:szCs w:val="24"/>
          <w:lang w:val="en-US" w:eastAsia="zh-CN"/>
        </w:rPr>
        <w:t>6.1生态环境</w:t>
      </w:r>
      <w:bookmarkEnd w:id="5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1" w:name="_Toc985"/>
      <w:r>
        <w:rPr>
          <w:rFonts w:hint="eastAsia" w:ascii="Times New Roman" w:hAnsi="Times New Roman" w:eastAsia="宋体" w:cs="Times New Roman"/>
          <w:sz w:val="24"/>
          <w:szCs w:val="24"/>
          <w:lang w:val="en-US" w:eastAsia="zh-CN"/>
        </w:rPr>
        <w:t>6.1.1工程占地</w:t>
      </w:r>
      <w:bookmarkEnd w:id="5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本项目永久性占地44.87hm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，施工期临时占地3.21hm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，拆迁建筑物29394m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，弃土场占地2.27hm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，与环评基本保持一致，无重大变化；占用基本农田10.25</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，比环评增加1.71</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，变化不大。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6.1.2土石方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本项目开挖土方11.04万m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，石方53.51万m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，填方58.68万m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，弃方5.87万m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vertAlign w:val="baseli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2" w:name="_Toc5043"/>
      <w:r>
        <w:rPr>
          <w:rFonts w:hint="eastAsia" w:ascii="Times New Roman" w:hAnsi="Times New Roman" w:eastAsia="宋体" w:cs="Times New Roman"/>
          <w:sz w:val="24"/>
          <w:szCs w:val="24"/>
          <w:lang w:val="en-US" w:eastAsia="zh-CN"/>
        </w:rPr>
        <w:t>6.1.3取、弃土场</w:t>
      </w:r>
      <w:bookmarkEnd w:id="5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本项目未设置专门的取土场，所需料石全部采用购买，仅设置1处永久性弃土场。该处弃土场位于K5+600~K5+850处，紧靠道路，容渣能力为9万m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，占地类型为坡耕地、荒山荒坡，地形为低洼地带，成库条件好。本项目总弃方5.87万m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，该处弃土场完全满足了本项目的弃方需求。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永久弃土场现已夯实、整理，基本进行了绿化覆盖，无环境问题遗留。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6.1.4水土保持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经实地勘察，本项目扰动原地貌53.12hm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，较环评（48.08hm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）增加了5.04hm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，水土保持设施面积40.49hm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，其中梯坪地8.7</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、水田28.69</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、荒山荒坡3.1</w:t>
      </w:r>
      <w:r>
        <w:rPr>
          <w:rFonts w:hint="eastAsia" w:ascii="Times New Roman" w:hAnsi="Times New Roman" w:eastAsia="宋体" w:cs="Times New Roman"/>
          <w:sz w:val="24"/>
          <w:szCs w:val="24"/>
          <w:lang w:val="en-US" w:eastAsia="zh-CN"/>
        </w:rPr>
        <w:t>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。扰动土地整治率为76.2%，边坡建设，临时堆场恢复，沿线施工扰动区已进行生态恢复，基本完成水土保持要求。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6.1.5绿化与景观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道路沿线已种植行道树，路中心隔离带绿化等已基本完成。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53" w:name="_Toc15479"/>
      <w:r>
        <w:rPr>
          <w:rFonts w:hint="eastAsia" w:ascii="Times New Roman" w:hAnsi="Times New Roman" w:eastAsia="宋体" w:cs="Times New Roman"/>
          <w:sz w:val="24"/>
          <w:szCs w:val="24"/>
          <w:lang w:val="en-US" w:eastAsia="zh-CN"/>
        </w:rPr>
        <w:t>6.2环境空气及噪声环境</w:t>
      </w:r>
      <w:bookmarkEnd w:id="5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54" w:name="_Toc19042"/>
      <w:r>
        <w:rPr>
          <w:rFonts w:hint="eastAsia" w:ascii="Times New Roman" w:hAnsi="Times New Roman" w:eastAsia="宋体" w:cs="Times New Roman"/>
          <w:sz w:val="24"/>
          <w:szCs w:val="24"/>
          <w:lang w:val="en-US" w:eastAsia="zh-CN"/>
        </w:rPr>
        <w:t>6.2.1敏感点调查</w:t>
      </w:r>
      <w:bookmarkEnd w:id="5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经现场调查，本项目中心线200m范围内敏感点12处，其中学校2处，公园1处，居民点9处；原环评敏感点10处，其中学校2处，居民点8处。调查情况见表6.2.1-1。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表6.2.1-1敏感点变更一览表</w:t>
      </w:r>
    </w:p>
    <w:tbl>
      <w:tblPr>
        <w:tblStyle w:val="9"/>
        <w:tblW w:w="983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16"/>
        <w:gridCol w:w="1250"/>
        <w:gridCol w:w="1500"/>
        <w:gridCol w:w="729"/>
        <w:gridCol w:w="1162"/>
        <w:gridCol w:w="1133"/>
        <w:gridCol w:w="2689"/>
        <w:gridCol w:w="8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blHeader/>
          <w:jc w:val="center"/>
        </w:trPr>
        <w:tc>
          <w:tcPr>
            <w:tcW w:w="516"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序号</w:t>
            </w:r>
          </w:p>
        </w:tc>
        <w:tc>
          <w:tcPr>
            <w:tcW w:w="1250"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敏感点名称</w:t>
            </w:r>
          </w:p>
        </w:tc>
        <w:tc>
          <w:tcPr>
            <w:tcW w:w="1500"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桩号</w:t>
            </w:r>
          </w:p>
        </w:tc>
        <w:tc>
          <w:tcPr>
            <w:tcW w:w="729"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距主线</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方位</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1"/>
              </w:rPr>
            </w:pPr>
            <w:r>
              <w:rPr>
                <w:rFonts w:hint="eastAsia" w:ascii="宋体" w:eastAsia="宋体"/>
                <w:b/>
                <w:spacing w:val="-8"/>
                <w:sz w:val="21"/>
              </w:rPr>
              <w:t>距路中心</w:t>
            </w:r>
            <w:r>
              <w:rPr>
                <w:rFonts w:hint="eastAsia" w:ascii="宋体" w:eastAsia="宋体"/>
                <w:b/>
                <w:spacing w:val="-8"/>
                <w:w w:val="95"/>
                <w:sz w:val="21"/>
              </w:rPr>
              <w:t>线</w:t>
            </w:r>
            <w:r>
              <w:rPr>
                <w:rFonts w:hint="eastAsia" w:ascii="宋体" w:eastAsia="宋体"/>
                <w:b/>
                <w:spacing w:val="-8"/>
                <w:w w:val="95"/>
                <w:sz w:val="21"/>
                <w:lang w:eastAsia="zh-CN"/>
              </w:rPr>
              <w:t>最近</w:t>
            </w:r>
            <w:r>
              <w:rPr>
                <w:rFonts w:hint="eastAsia" w:ascii="宋体" w:eastAsia="宋体"/>
                <w:b/>
                <w:spacing w:val="-8"/>
                <w:w w:val="95"/>
                <w:sz w:val="21"/>
              </w:rPr>
              <w:t>距</w:t>
            </w:r>
            <w:r>
              <w:rPr>
                <w:rFonts w:hint="eastAsia" w:ascii="宋体" w:eastAsia="宋体"/>
                <w:b/>
                <w:w w:val="95"/>
                <w:sz w:val="21"/>
              </w:rPr>
              <w:t>离</w:t>
            </w:r>
            <w:r>
              <w:rPr>
                <w:b/>
                <w:w w:val="95"/>
                <w:sz w:val="21"/>
              </w:rPr>
              <w:t>(m)</w:t>
            </w:r>
          </w:p>
        </w:tc>
        <w:tc>
          <w:tcPr>
            <w:tcW w:w="113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1"/>
              </w:rPr>
            </w:pPr>
            <w:r>
              <w:rPr>
                <w:rFonts w:hint="eastAsia" w:ascii="宋体" w:eastAsia="宋体"/>
                <w:b/>
                <w:sz w:val="21"/>
              </w:rPr>
              <w:t>与路面相对高差</w:t>
            </w:r>
            <w:r>
              <w:rPr>
                <w:b/>
                <w:sz w:val="21"/>
              </w:rPr>
              <w:t>(m)</w:t>
            </w:r>
          </w:p>
        </w:tc>
        <w:tc>
          <w:tcPr>
            <w:tcW w:w="2689"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敏感点情况</w:t>
            </w:r>
          </w:p>
        </w:tc>
        <w:tc>
          <w:tcPr>
            <w:tcW w:w="857"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lang w:eastAsia="zh-CN"/>
              </w:rPr>
            </w:pPr>
            <w:r>
              <w:rPr>
                <w:rFonts w:hint="eastAsia" w:ascii="宋体" w:eastAsia="宋体"/>
                <w:b/>
                <w:sz w:val="21"/>
                <w:lang w:eastAsia="zh-CN"/>
              </w:rPr>
              <w:t>变更情况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default" w:ascii="Times New Roman" w:hAnsi="Times New Roman" w:eastAsia="宋体" w:cs="Times New Roman"/>
                <w:b w:val="0"/>
                <w:bCs/>
                <w:sz w:val="21"/>
                <w:lang w:val="en-US" w:eastAsia="zh-CN"/>
              </w:rPr>
              <w:t>1</w:t>
            </w:r>
          </w:p>
        </w:tc>
        <w:tc>
          <w:tcPr>
            <w:tcW w:w="1250"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eastAsia="zh-CN"/>
              </w:rPr>
            </w:pPr>
            <w:r>
              <w:rPr>
                <w:rFonts w:hint="eastAsia" w:eastAsia="宋体" w:cs="Times New Roman"/>
                <w:b w:val="0"/>
                <w:bCs/>
                <w:sz w:val="21"/>
                <w:lang w:eastAsia="zh-CN"/>
              </w:rPr>
              <w:t>贵州商学院</w:t>
            </w:r>
          </w:p>
        </w:tc>
        <w:tc>
          <w:tcPr>
            <w:tcW w:w="1500"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K0+50~K0+750</w:t>
            </w:r>
          </w:p>
        </w:tc>
        <w:tc>
          <w:tcPr>
            <w:tcW w:w="729"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左</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w w:val="95"/>
                <w:sz w:val="21"/>
                <w:lang w:val="en-US" w:eastAsia="zh-CN"/>
              </w:rPr>
            </w:pPr>
            <w:r>
              <w:rPr>
                <w:rFonts w:hint="eastAsia" w:eastAsia="宋体" w:cs="Times New Roman"/>
                <w:b w:val="0"/>
                <w:bCs/>
                <w:w w:val="95"/>
                <w:sz w:val="21"/>
                <w:lang w:val="en-US" w:eastAsia="zh-CN"/>
              </w:rPr>
              <w:t>45</w:t>
            </w:r>
          </w:p>
        </w:tc>
        <w:tc>
          <w:tcPr>
            <w:tcW w:w="113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val="en-US" w:eastAsia="zh-CN"/>
              </w:rPr>
            </w:pPr>
            <w:r>
              <w:rPr>
                <w:rFonts w:hint="eastAsia" w:eastAsia="宋体" w:cs="Times New Roman"/>
                <w:b w:val="0"/>
                <w:bCs/>
                <w:sz w:val="21"/>
                <w:lang w:val="en-US" w:eastAsia="zh-CN"/>
              </w:rPr>
              <w:t>0</w:t>
            </w:r>
          </w:p>
        </w:tc>
        <w:tc>
          <w:tcPr>
            <w:tcW w:w="2689"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w w:val="99"/>
                <w:sz w:val="21"/>
                <w:lang w:val="en-US" w:eastAsia="zh-CN"/>
              </w:rPr>
            </w:pPr>
            <w:r>
              <w:rPr>
                <w:rFonts w:hint="eastAsia" w:eastAsia="宋体" w:cs="Times New Roman"/>
                <w:b w:val="0"/>
                <w:bCs/>
                <w:w w:val="99"/>
                <w:sz w:val="21"/>
                <w:lang w:eastAsia="zh-CN"/>
              </w:rPr>
              <w:t>学校，教学楼、行政办公楼学生宿舍约</w:t>
            </w:r>
            <w:r>
              <w:rPr>
                <w:rFonts w:hint="eastAsia" w:eastAsia="宋体" w:cs="Times New Roman"/>
                <w:b w:val="0"/>
                <w:bCs/>
                <w:w w:val="99"/>
                <w:sz w:val="21"/>
                <w:lang w:val="en-US" w:eastAsia="zh-CN"/>
              </w:rPr>
              <w:t>19座，教职工及学生12000余人</w:t>
            </w:r>
          </w:p>
        </w:tc>
        <w:tc>
          <w:tcPr>
            <w:tcW w:w="857"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eastAsia="zh-CN"/>
              </w:rPr>
            </w:pPr>
            <w:r>
              <w:rPr>
                <w:rFonts w:hint="eastAsia" w:eastAsia="宋体" w:cs="Times New Roman"/>
                <w:b w:val="0"/>
                <w:bCs/>
                <w:sz w:val="21"/>
                <w:lang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tcBorders>
              <w:bottom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2</w:t>
            </w:r>
          </w:p>
        </w:tc>
        <w:tc>
          <w:tcPr>
            <w:tcW w:w="1250"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亮天寨1</w:t>
            </w:r>
          </w:p>
        </w:tc>
        <w:tc>
          <w:tcPr>
            <w:tcW w:w="1500"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K0+420</w:t>
            </w:r>
          </w:p>
        </w:tc>
        <w:tc>
          <w:tcPr>
            <w:tcW w:w="729"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1162"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1133"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2689" w:type="dxa"/>
            <w:tcBorders>
              <w:left w:val="single" w:color="000000" w:sz="6" w:space="0"/>
              <w:bottom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15户60人，临近道路第一排6户，为2、3层平房</w:t>
            </w:r>
          </w:p>
        </w:tc>
        <w:tc>
          <w:tcPr>
            <w:tcW w:w="857" w:type="dxa"/>
            <w:tcBorders>
              <w:left w:val="single" w:color="000000" w:sz="6" w:space="0"/>
              <w:bottom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3</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亮天寨2</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K0+620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45</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20户100人，临近道路第一排5户，为2层平房</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4</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K1+620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50户250人，临近道路第一排10户，多为2层平房</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5</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K1+825</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45</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40户200人，临近道路第一排5户，多为3层平房</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6</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沙子坡</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K2+510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8户40人，临近道路第一排6户，多为2层平房</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7</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董柒坝</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K3+150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190</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40户200人，临近道路第一排6户，多为2层平房</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8</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麻堡组</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K3+505</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65</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35户190人，临近道路第一排10户，多为2层平房</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b w:val="0"/>
                <w:bCs/>
                <w:kern w:val="2"/>
                <w:sz w:val="21"/>
                <w:szCs w:val="24"/>
                <w:lang w:val="en-US" w:eastAsia="zh-CN" w:bidi="zh-CN"/>
              </w:rPr>
            </w:pPr>
            <w:r>
              <w:rPr>
                <w:rFonts w:hint="eastAsia" w:eastAsia="宋体" w:cs="Times New Roman"/>
                <w:b w:val="0"/>
                <w:bCs/>
                <w:sz w:val="21"/>
                <w:lang w:val="en-US" w:eastAsia="zh-CN"/>
              </w:rPr>
              <w:t>9</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麻堡小学</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K3+660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30</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现已完成搬迁</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已拆除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kern w:val="2"/>
                <w:sz w:val="21"/>
                <w:szCs w:val="24"/>
                <w:lang w:val="en-US" w:eastAsia="zh-CN" w:bidi="zh-CN"/>
              </w:rPr>
            </w:pPr>
            <w:r>
              <w:rPr>
                <w:rFonts w:hint="eastAsia" w:eastAsia="宋体" w:cs="Times New Roman"/>
                <w:b w:val="0"/>
                <w:bCs/>
                <w:sz w:val="21"/>
                <w:lang w:val="en-US" w:eastAsia="zh-CN"/>
              </w:rPr>
              <w:t>10</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K4+50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50</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val="en-US" w:eastAsia="zh-CN"/>
              </w:rPr>
              <w:t>/</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b w:val="0"/>
                <w:bCs/>
                <w:kern w:val="2"/>
                <w:sz w:val="21"/>
                <w:szCs w:val="24"/>
                <w:lang w:val="en-US" w:eastAsia="zh-CN" w:bidi="zh-CN"/>
              </w:rPr>
            </w:pPr>
            <w:r>
              <w:rPr>
                <w:rFonts w:hint="eastAsia" w:eastAsia="宋体" w:cs="Times New Roman"/>
                <w:b w:val="0"/>
                <w:bCs/>
                <w:sz w:val="21"/>
                <w:lang w:val="en-US" w:eastAsia="zh-CN"/>
              </w:rPr>
              <w:t>11</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王家院</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K3+950~K4+350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+1.0</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val="en-US" w:eastAsia="zh-CN"/>
              </w:rPr>
            </w:pPr>
            <w:r>
              <w:rPr>
                <w:rFonts w:hint="eastAsia" w:eastAsia="宋体" w:cs="Times New Roman"/>
                <w:b w:val="0"/>
                <w:bCs/>
                <w:w w:val="99"/>
                <w:sz w:val="21"/>
                <w:lang w:val="en-US" w:eastAsia="zh-CN"/>
              </w:rPr>
              <w:t>现已完成搬迁，规划为园区建设项目用地</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已拆迁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kern w:val="2"/>
                <w:sz w:val="21"/>
                <w:szCs w:val="24"/>
                <w:lang w:val="en-US" w:eastAsia="zh-CN" w:bidi="zh-CN"/>
              </w:rPr>
            </w:pPr>
            <w:r>
              <w:rPr>
                <w:rFonts w:hint="eastAsia" w:eastAsia="宋体" w:cs="Times New Roman"/>
                <w:b w:val="0"/>
                <w:bCs/>
                <w:sz w:val="21"/>
                <w:lang w:val="en-US" w:eastAsia="zh-CN"/>
              </w:rPr>
              <w:t>12</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潘家湾</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K4+930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-0.5</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cs="Times New Roman"/>
                <w:b w:val="0"/>
                <w:bCs/>
                <w:w w:val="99"/>
                <w:sz w:val="21"/>
                <w:lang w:eastAsia="zh-CN"/>
              </w:rPr>
            </w:pPr>
            <w:r>
              <w:rPr>
                <w:rFonts w:hint="eastAsia" w:eastAsia="宋体" w:cs="Times New Roman"/>
                <w:b w:val="0"/>
                <w:bCs/>
                <w:w w:val="99"/>
                <w:sz w:val="21"/>
                <w:lang w:eastAsia="zh-CN"/>
              </w:rPr>
              <w:t>居民点，已大部分搬迁仅余约三、四户还未搬离</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kern w:val="2"/>
                <w:sz w:val="21"/>
                <w:szCs w:val="24"/>
                <w:lang w:val="en-US" w:eastAsia="zh-CN" w:bidi="zh-CN"/>
              </w:rPr>
            </w:pPr>
            <w:r>
              <w:rPr>
                <w:rFonts w:hint="eastAsia" w:eastAsia="宋体" w:cs="Times New Roman"/>
                <w:b w:val="0"/>
                <w:bCs/>
                <w:sz w:val="21"/>
                <w:lang w:val="en-US" w:eastAsia="zh-CN"/>
              </w:rPr>
              <w:t>13</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沙文镇</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K6+470</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居民点，约</w:t>
            </w:r>
            <w:r>
              <w:rPr>
                <w:rFonts w:hint="eastAsia" w:eastAsia="宋体" w:cs="Times New Roman"/>
                <w:b w:val="0"/>
                <w:bCs/>
                <w:w w:val="99"/>
                <w:sz w:val="21"/>
                <w:lang w:val="en-US" w:eastAsia="zh-CN"/>
              </w:rPr>
              <w:t>200户550人，多为三层平房</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16"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14</w:t>
            </w:r>
          </w:p>
        </w:tc>
        <w:tc>
          <w:tcPr>
            <w:tcW w:w="12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沙文中学（白云区第六初级中学）</w:t>
            </w:r>
          </w:p>
        </w:tc>
        <w:tc>
          <w:tcPr>
            <w:tcW w:w="15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K7+096</w:t>
            </w:r>
          </w:p>
        </w:tc>
        <w:tc>
          <w:tcPr>
            <w:tcW w:w="72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终点</w:t>
            </w:r>
          </w:p>
        </w:tc>
        <w:tc>
          <w:tcPr>
            <w:tcW w:w="116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93</w:t>
            </w:r>
          </w:p>
        </w:tc>
        <w:tc>
          <w:tcPr>
            <w:tcW w:w="113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-7</w:t>
            </w:r>
          </w:p>
        </w:tc>
        <w:tc>
          <w:tcPr>
            <w:tcW w:w="2689"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cs="Times New Roman"/>
                <w:b w:val="0"/>
                <w:bCs/>
                <w:w w:val="99"/>
                <w:sz w:val="21"/>
                <w:lang w:val="en-US" w:eastAsia="zh-CN"/>
              </w:rPr>
            </w:pPr>
            <w:r>
              <w:rPr>
                <w:rFonts w:hint="eastAsia" w:eastAsia="宋体" w:cs="Times New Roman"/>
                <w:b w:val="0"/>
                <w:bCs/>
                <w:w w:val="99"/>
                <w:sz w:val="21"/>
                <w:lang w:eastAsia="zh-CN"/>
              </w:rPr>
              <w:t>学校，教学楼及行政办公楼等</w:t>
            </w:r>
            <w:r>
              <w:rPr>
                <w:rFonts w:hint="eastAsia" w:eastAsia="宋体" w:cs="Times New Roman"/>
                <w:b w:val="0"/>
                <w:bCs/>
                <w:w w:val="99"/>
                <w:sz w:val="21"/>
                <w:lang w:val="en-US" w:eastAsia="zh-CN"/>
              </w:rPr>
              <w:t>4栋，教职工及学生1200余人</w:t>
            </w:r>
          </w:p>
        </w:tc>
        <w:tc>
          <w:tcPr>
            <w:tcW w:w="85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与环评一致</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default" w:ascii="Times New Roman" w:hAnsi="Times New Roman" w:eastAsia="宋体" w:cs="Times New Roman"/>
          <w:sz w:val="24"/>
          <w:szCs w:val="24"/>
          <w:lang w:val="en-US" w:eastAsia="zh-CN"/>
        </w:rPr>
      </w:pPr>
      <w:bookmarkStart w:id="55" w:name="_Toc5225"/>
      <w:r>
        <w:rPr>
          <w:rFonts w:hint="eastAsia" w:ascii="Times New Roman" w:hAnsi="Times New Roman" w:eastAsia="宋体" w:cs="Times New Roman"/>
          <w:sz w:val="24"/>
          <w:szCs w:val="24"/>
          <w:lang w:val="en-US" w:eastAsia="zh-CN"/>
        </w:rPr>
        <w:t>6.2.2现状监测内容</w:t>
      </w:r>
      <w:bookmarkEnd w:id="5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根据调查实际情况，结合环境影响评价报告要求，本项目共设置噪声监测敏感点12处，环境空气监测敏感点3处。具体详见表6.2.2-1、6.2.2-2.</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6.2.2-1噪声监测敏感点一览表</w:t>
      </w:r>
    </w:p>
    <w:tbl>
      <w:tblPr>
        <w:tblStyle w:val="9"/>
        <w:tblW w:w="933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0"/>
        <w:gridCol w:w="1588"/>
        <w:gridCol w:w="1523"/>
        <w:gridCol w:w="927"/>
        <w:gridCol w:w="1162"/>
        <w:gridCol w:w="1133"/>
        <w:gridCol w:w="24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blHeader/>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序号</w:t>
            </w:r>
          </w:p>
        </w:tc>
        <w:tc>
          <w:tcPr>
            <w:tcW w:w="1588"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敏感点名称</w:t>
            </w:r>
          </w:p>
        </w:tc>
        <w:tc>
          <w:tcPr>
            <w:tcW w:w="152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桩号</w:t>
            </w:r>
          </w:p>
        </w:tc>
        <w:tc>
          <w:tcPr>
            <w:tcW w:w="927"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距主线</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方位</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1"/>
              </w:rPr>
            </w:pPr>
            <w:r>
              <w:rPr>
                <w:rFonts w:hint="eastAsia" w:ascii="宋体" w:eastAsia="宋体"/>
                <w:b/>
                <w:spacing w:val="-8"/>
                <w:sz w:val="21"/>
              </w:rPr>
              <w:t>距路中心</w:t>
            </w:r>
            <w:r>
              <w:rPr>
                <w:rFonts w:hint="eastAsia" w:ascii="宋体" w:eastAsia="宋体"/>
                <w:b/>
                <w:spacing w:val="-8"/>
                <w:w w:val="95"/>
                <w:sz w:val="21"/>
              </w:rPr>
              <w:t>线</w:t>
            </w:r>
            <w:r>
              <w:rPr>
                <w:rFonts w:hint="eastAsia" w:ascii="宋体" w:eastAsia="宋体"/>
                <w:b/>
                <w:spacing w:val="-8"/>
                <w:w w:val="95"/>
                <w:sz w:val="21"/>
                <w:lang w:eastAsia="zh-CN"/>
              </w:rPr>
              <w:t>最近</w:t>
            </w:r>
            <w:r>
              <w:rPr>
                <w:rFonts w:hint="eastAsia" w:ascii="宋体" w:eastAsia="宋体"/>
                <w:b/>
                <w:spacing w:val="-8"/>
                <w:w w:val="95"/>
                <w:sz w:val="21"/>
              </w:rPr>
              <w:t>距</w:t>
            </w:r>
            <w:r>
              <w:rPr>
                <w:rFonts w:hint="eastAsia" w:ascii="宋体" w:eastAsia="宋体"/>
                <w:b/>
                <w:w w:val="95"/>
                <w:sz w:val="21"/>
              </w:rPr>
              <w:t>离</w:t>
            </w:r>
            <w:r>
              <w:rPr>
                <w:b/>
                <w:w w:val="95"/>
                <w:sz w:val="21"/>
              </w:rPr>
              <w:t>(m)</w:t>
            </w:r>
          </w:p>
        </w:tc>
        <w:tc>
          <w:tcPr>
            <w:tcW w:w="113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b/>
                <w:sz w:val="21"/>
                <w:lang w:eastAsia="zh-CN"/>
              </w:rPr>
            </w:pPr>
            <w:r>
              <w:rPr>
                <w:rFonts w:hint="eastAsia" w:eastAsia="宋体"/>
                <w:b/>
                <w:sz w:val="21"/>
                <w:lang w:eastAsia="zh-CN"/>
              </w:rPr>
              <w:t>监测因子</w:t>
            </w:r>
          </w:p>
        </w:tc>
        <w:tc>
          <w:tcPr>
            <w:tcW w:w="2477"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lang w:eastAsia="zh-CN"/>
              </w:rPr>
            </w:pPr>
            <w:r>
              <w:rPr>
                <w:rFonts w:hint="eastAsia" w:ascii="宋体" w:eastAsia="宋体"/>
                <w:b/>
                <w:sz w:val="21"/>
                <w:lang w:eastAsia="zh-CN"/>
              </w:rPr>
              <w:t>照片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default" w:ascii="Times New Roman" w:hAnsi="Times New Roman" w:eastAsia="宋体" w:cs="Times New Roman"/>
                <w:b w:val="0"/>
                <w:bCs/>
                <w:sz w:val="21"/>
                <w:lang w:val="en-US" w:eastAsia="zh-CN"/>
              </w:rPr>
              <w:t>1</w:t>
            </w:r>
          </w:p>
        </w:tc>
        <w:tc>
          <w:tcPr>
            <w:tcW w:w="1588"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eastAsia="zh-CN"/>
              </w:rPr>
            </w:pPr>
            <w:r>
              <w:rPr>
                <w:rFonts w:hint="eastAsia" w:eastAsia="宋体" w:cs="Times New Roman"/>
                <w:b w:val="0"/>
                <w:bCs/>
                <w:sz w:val="21"/>
                <w:lang w:eastAsia="zh-CN"/>
              </w:rPr>
              <w:t>贵州商学院</w:t>
            </w:r>
          </w:p>
        </w:tc>
        <w:tc>
          <w:tcPr>
            <w:tcW w:w="152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K0+50~K0+750</w:t>
            </w:r>
          </w:p>
        </w:tc>
        <w:tc>
          <w:tcPr>
            <w:tcW w:w="927"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左</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w w:val="95"/>
                <w:sz w:val="21"/>
                <w:lang w:val="en-US" w:eastAsia="zh-CN"/>
              </w:rPr>
            </w:pPr>
            <w:r>
              <w:rPr>
                <w:rFonts w:hint="eastAsia" w:eastAsia="宋体" w:cs="Times New Roman"/>
                <w:b w:val="0"/>
                <w:bCs/>
                <w:w w:val="95"/>
                <w:sz w:val="21"/>
                <w:lang w:val="en-US" w:eastAsia="zh-CN"/>
              </w:rPr>
              <w:t>45</w:t>
            </w:r>
          </w:p>
        </w:tc>
        <w:tc>
          <w:tcPr>
            <w:tcW w:w="1133" w:type="dxa"/>
            <w:vMerge w:val="restart"/>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vertAlign w:val="baseline"/>
                <w:lang w:val="en-US" w:eastAsia="zh-CN"/>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Aeq</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10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50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90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max</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min</w:t>
            </w:r>
            <w:r>
              <w:rPr>
                <w:rFonts w:hint="eastAsia" w:ascii="Times New Roman" w:hAnsi="Times New Roman" w:eastAsia="宋体" w:cs="Times New Roman"/>
                <w:b w:val="0"/>
                <w:bCs/>
                <w:sz w:val="21"/>
                <w:vertAlign w:val="baseline"/>
                <w:lang w:val="en-US" w:eastAsia="zh-CN"/>
              </w:rPr>
              <w:t>、</w:t>
            </w:r>
            <w:r>
              <w:rPr>
                <w:rFonts w:hint="default" w:ascii="Times New Roman" w:hAnsi="Times New Roman" w:eastAsia="宋体" w:cs="Times New Roman"/>
                <w:b w:val="0"/>
                <w:bCs/>
                <w:sz w:val="21"/>
                <w:vertAlign w:val="baseline"/>
                <w:lang w:val="en-US" w:eastAsia="zh-CN"/>
              </w:rPr>
              <w:t>车流量</w:t>
            </w:r>
          </w:p>
        </w:tc>
        <w:tc>
          <w:tcPr>
            <w:tcW w:w="2477" w:type="dxa"/>
            <w:tcBorders>
              <w:lef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1" name="图片 11" descr="照片IMG_20200519_16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照片IMG_20200519_164640"/>
                          <pic:cNvPicPr>
                            <a:picLocks noChangeAspect="1"/>
                          </pic:cNvPicPr>
                        </pic:nvPicPr>
                        <pic:blipFill>
                          <a:blip r:embed="rId15"/>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20" w:type="dxa"/>
            <w:tcBorders>
              <w:bottom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2</w:t>
            </w:r>
          </w:p>
        </w:tc>
        <w:tc>
          <w:tcPr>
            <w:tcW w:w="1588"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亮天寨1</w:t>
            </w:r>
          </w:p>
        </w:tc>
        <w:tc>
          <w:tcPr>
            <w:tcW w:w="1523"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K0+420</w:t>
            </w:r>
          </w:p>
        </w:tc>
        <w:tc>
          <w:tcPr>
            <w:tcW w:w="927"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1162" w:type="dxa"/>
            <w:tcBorders>
              <w:left w:val="single" w:color="000000" w:sz="6" w:space="0"/>
              <w:bottom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1133" w:type="dxa"/>
            <w:vMerge w:val="continue"/>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tcBorders>
              <w:left w:val="single" w:color="000000" w:sz="6" w:space="0"/>
              <w:bottom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2" name="图片 12" descr="照片IMG_20200519_16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照片IMG_20200519_164936"/>
                          <pic:cNvPicPr>
                            <a:picLocks noChangeAspect="1"/>
                          </pic:cNvPicPr>
                        </pic:nvPicPr>
                        <pic:blipFill>
                          <a:blip r:embed="rId16"/>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3</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亮天寨2</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K0+620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45</w:t>
            </w:r>
          </w:p>
        </w:tc>
        <w:tc>
          <w:tcPr>
            <w:tcW w:w="1133" w:type="dxa"/>
            <w:vMerge w:val="continue"/>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3" name="图片 13" descr="IMG_20200519_16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00519_165408"/>
                          <pic:cNvPicPr>
                            <a:picLocks noChangeAspect="1"/>
                          </pic:cNvPicPr>
                        </pic:nvPicPr>
                        <pic:blipFill>
                          <a:blip r:embed="rId17"/>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4</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K1+620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1133" w:type="dxa"/>
            <w:vMerge w:val="continue"/>
            <w:tcBorders>
              <w:left w:val="single" w:color="000000" w:sz="6" w:space="0"/>
              <w:righ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4" name="图片 14" descr="IMG_20200519_17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00519_170604"/>
                          <pic:cNvPicPr>
                            <a:picLocks noChangeAspect="1"/>
                          </pic:cNvPicPr>
                        </pic:nvPicPr>
                        <pic:blipFill>
                          <a:blip r:embed="rId18"/>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K1+825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45</w:t>
            </w:r>
          </w:p>
        </w:tc>
        <w:tc>
          <w:tcPr>
            <w:tcW w:w="1133"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Aeq</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10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50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90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max</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min</w:t>
            </w:r>
            <w:r>
              <w:rPr>
                <w:rFonts w:hint="eastAsia" w:ascii="Times New Roman" w:hAnsi="Times New Roman" w:eastAsia="宋体" w:cs="Times New Roman"/>
                <w:b w:val="0"/>
                <w:bCs/>
                <w:sz w:val="21"/>
                <w:vertAlign w:val="baseline"/>
                <w:lang w:val="en-US" w:eastAsia="zh-CN"/>
              </w:rPr>
              <w:t>、</w:t>
            </w:r>
            <w:r>
              <w:rPr>
                <w:rFonts w:hint="default" w:ascii="Times New Roman" w:hAnsi="Times New Roman" w:eastAsia="宋体" w:cs="Times New Roman"/>
                <w:b w:val="0"/>
                <w:bCs/>
                <w:sz w:val="21"/>
                <w:vertAlign w:val="baseline"/>
                <w:lang w:val="en-US" w:eastAsia="zh-CN"/>
              </w:rPr>
              <w:t>车流量</w:t>
            </w: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5" name="图片 15" descr="IMG_20200519_17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00519_170505"/>
                          <pic:cNvPicPr>
                            <a:picLocks noChangeAspect="1"/>
                          </pic:cNvPicPr>
                        </pic:nvPicPr>
                        <pic:blipFill>
                          <a:blip r:embed="rId19"/>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6</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沙子坡</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K2+510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6" name="图片 16" descr="IMG_20200519_17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00519_171103"/>
                          <pic:cNvPicPr>
                            <a:picLocks noChangeAspect="1"/>
                          </pic:cNvPicPr>
                        </pic:nvPicPr>
                        <pic:blipFill>
                          <a:blip r:embed="rId20"/>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7</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董柒坝</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K3+150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190</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7" name="图片 17" descr="IMG_20200519_17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00519_171501"/>
                          <pic:cNvPicPr>
                            <a:picLocks noChangeAspect="1"/>
                          </pic:cNvPicPr>
                        </pic:nvPicPr>
                        <pic:blipFill>
                          <a:blip r:embed="rId21"/>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8</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麻堡组</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K3+505</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65</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44295" cy="1008380"/>
                  <wp:effectExtent l="0" t="0" r="8255" b="1270"/>
                  <wp:docPr id="18" name="图片 18" descr="IMG_1016(20200518-2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1016(20200518-204603)"/>
                          <pic:cNvPicPr>
                            <a:picLocks noChangeAspect="1"/>
                          </pic:cNvPicPr>
                        </pic:nvPicPr>
                        <pic:blipFill>
                          <a:blip r:embed="rId22"/>
                          <a:stretch>
                            <a:fillRect/>
                          </a:stretch>
                        </pic:blipFill>
                        <pic:spPr>
                          <a:xfrm>
                            <a:off x="0" y="0"/>
                            <a:ext cx="1344295" cy="100838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9</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K4+50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50</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19" name="图片 19" descr="IMG_20200519_17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00519_172430"/>
                          <pic:cNvPicPr>
                            <a:picLocks noChangeAspect="1"/>
                          </pic:cNvPicPr>
                        </pic:nvPicPr>
                        <pic:blipFill>
                          <a:blip r:embed="rId23"/>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潘家湾</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K4+930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20" name="图片 20" descr="IMG_20200519_17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00519_173212"/>
                          <pic:cNvPicPr>
                            <a:picLocks noChangeAspect="1"/>
                          </pic:cNvPicPr>
                        </pic:nvPicPr>
                        <pic:blipFill>
                          <a:blip r:embed="rId24"/>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11</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沙文镇</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K6+470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左侧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35</w:t>
            </w:r>
          </w:p>
        </w:tc>
        <w:tc>
          <w:tcPr>
            <w:tcW w:w="1133"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Aeq</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10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50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90</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max</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L</w:t>
            </w:r>
            <w:r>
              <w:rPr>
                <w:rFonts w:hint="default" w:ascii="Times New Roman" w:hAnsi="Times New Roman" w:cs="Times New Roman"/>
                <w:b w:val="0"/>
                <w:bCs w:val="0"/>
                <w:color w:val="000000" w:themeColor="text1"/>
                <w:sz w:val="21"/>
                <w:szCs w:val="21"/>
                <w:vertAlign w:val="subscript"/>
                <w:lang w:val="en-US" w:eastAsia="zh-CN"/>
                <w14:textFill>
                  <w14:solidFill>
                    <w14:schemeClr w14:val="tx1"/>
                  </w14:solidFill>
                </w14:textFill>
              </w:rPr>
              <w:t>min</w:t>
            </w:r>
            <w:r>
              <w:rPr>
                <w:rFonts w:hint="eastAsia" w:ascii="Times New Roman" w:hAnsi="Times New Roman" w:eastAsia="宋体" w:cs="Times New Roman"/>
                <w:b w:val="0"/>
                <w:bCs/>
                <w:sz w:val="21"/>
                <w:vertAlign w:val="baseline"/>
                <w:lang w:val="en-US" w:eastAsia="zh-CN"/>
              </w:rPr>
              <w:t>、</w:t>
            </w:r>
            <w:r>
              <w:rPr>
                <w:rFonts w:hint="default" w:ascii="Times New Roman" w:hAnsi="Times New Roman" w:eastAsia="宋体" w:cs="Times New Roman"/>
                <w:b w:val="0"/>
                <w:bCs/>
                <w:sz w:val="21"/>
                <w:vertAlign w:val="baseline"/>
                <w:lang w:val="en-US" w:eastAsia="zh-CN"/>
              </w:rPr>
              <w:t>车流量</w:t>
            </w: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21" name="图片 21" descr="IMG_20200519_17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00519_174407"/>
                          <pic:cNvPicPr>
                            <a:picLocks noChangeAspect="1"/>
                          </pic:cNvPicPr>
                        </pic:nvPicPr>
                        <pic:blipFill>
                          <a:blip r:embed="rId25"/>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12</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沙文中学（白云区第六初级中学）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K7+096</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终点</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93</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22" name="图片 22" descr="IMG_20200519_1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00519_174512"/>
                          <pic:cNvPicPr>
                            <a:picLocks noChangeAspect="1"/>
                          </pic:cNvPicPr>
                        </pic:nvPicPr>
                        <pic:blipFill>
                          <a:blip r:embed="rId26"/>
                          <a:stretch>
                            <a:fillRect/>
                          </a:stretch>
                        </pic:blipFill>
                        <pic:spPr>
                          <a:xfrm>
                            <a:off x="0" y="0"/>
                            <a:ext cx="1331595" cy="998220"/>
                          </a:xfrm>
                          <a:prstGeom prst="rect">
                            <a:avLst/>
                          </a:prstGeom>
                        </pic:spPr>
                      </pic:pic>
                    </a:graphicData>
                  </a:graphic>
                </wp:inline>
              </w:drawing>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表6.2.2-2环境空气监测点位一览表</w:t>
      </w:r>
    </w:p>
    <w:tbl>
      <w:tblPr>
        <w:tblStyle w:val="9"/>
        <w:tblW w:w="933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0"/>
        <w:gridCol w:w="1588"/>
        <w:gridCol w:w="1523"/>
        <w:gridCol w:w="927"/>
        <w:gridCol w:w="1162"/>
        <w:gridCol w:w="1133"/>
        <w:gridCol w:w="24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blHeader/>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序号</w:t>
            </w:r>
          </w:p>
        </w:tc>
        <w:tc>
          <w:tcPr>
            <w:tcW w:w="1588"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敏感点名称</w:t>
            </w:r>
          </w:p>
        </w:tc>
        <w:tc>
          <w:tcPr>
            <w:tcW w:w="152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桩号</w:t>
            </w:r>
          </w:p>
        </w:tc>
        <w:tc>
          <w:tcPr>
            <w:tcW w:w="927"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距主线</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方位</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sz w:val="21"/>
              </w:rPr>
            </w:pPr>
            <w:r>
              <w:rPr>
                <w:rFonts w:hint="eastAsia" w:ascii="宋体" w:eastAsia="宋体"/>
                <w:b/>
                <w:spacing w:val="-8"/>
                <w:sz w:val="21"/>
              </w:rPr>
              <w:t>距路中心</w:t>
            </w:r>
            <w:r>
              <w:rPr>
                <w:rFonts w:hint="eastAsia" w:ascii="宋体" w:eastAsia="宋体"/>
                <w:b/>
                <w:spacing w:val="-8"/>
                <w:w w:val="95"/>
                <w:sz w:val="21"/>
              </w:rPr>
              <w:t>线</w:t>
            </w:r>
            <w:r>
              <w:rPr>
                <w:rFonts w:hint="eastAsia" w:ascii="宋体" w:eastAsia="宋体"/>
                <w:b/>
                <w:spacing w:val="-8"/>
                <w:w w:val="95"/>
                <w:sz w:val="21"/>
                <w:lang w:eastAsia="zh-CN"/>
              </w:rPr>
              <w:t>最近</w:t>
            </w:r>
            <w:r>
              <w:rPr>
                <w:rFonts w:hint="eastAsia" w:ascii="宋体" w:eastAsia="宋体"/>
                <w:b/>
                <w:spacing w:val="-8"/>
                <w:w w:val="95"/>
                <w:sz w:val="21"/>
              </w:rPr>
              <w:t>距</w:t>
            </w:r>
            <w:r>
              <w:rPr>
                <w:rFonts w:hint="eastAsia" w:ascii="宋体" w:eastAsia="宋体"/>
                <w:b/>
                <w:w w:val="95"/>
                <w:sz w:val="21"/>
              </w:rPr>
              <w:t>离</w:t>
            </w:r>
            <w:r>
              <w:rPr>
                <w:b/>
                <w:w w:val="95"/>
                <w:sz w:val="21"/>
              </w:rPr>
              <w:t>(m)</w:t>
            </w:r>
          </w:p>
        </w:tc>
        <w:tc>
          <w:tcPr>
            <w:tcW w:w="113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b/>
                <w:sz w:val="21"/>
                <w:lang w:eastAsia="zh-CN"/>
              </w:rPr>
            </w:pPr>
            <w:r>
              <w:rPr>
                <w:rFonts w:hint="eastAsia" w:eastAsia="宋体"/>
                <w:b/>
                <w:sz w:val="21"/>
                <w:lang w:eastAsia="zh-CN"/>
              </w:rPr>
              <w:t>监测因子</w:t>
            </w:r>
          </w:p>
        </w:tc>
        <w:tc>
          <w:tcPr>
            <w:tcW w:w="2477" w:type="dxa"/>
            <w:tcBorders>
              <w:lef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lang w:eastAsia="zh-CN"/>
              </w:rPr>
            </w:pPr>
            <w:r>
              <w:rPr>
                <w:rFonts w:hint="eastAsia" w:ascii="宋体" w:eastAsia="宋体"/>
                <w:b/>
                <w:sz w:val="21"/>
                <w:lang w:eastAsia="zh-CN"/>
              </w:rPr>
              <w:t>照片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520" w:type="dxa"/>
            <w:tcBorders>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default" w:ascii="Times New Roman" w:hAnsi="Times New Roman" w:eastAsia="宋体" w:cs="Times New Roman"/>
                <w:b w:val="0"/>
                <w:bCs/>
                <w:sz w:val="21"/>
                <w:lang w:val="en-US" w:eastAsia="zh-CN"/>
              </w:rPr>
              <w:t>1</w:t>
            </w:r>
          </w:p>
        </w:tc>
        <w:tc>
          <w:tcPr>
            <w:tcW w:w="1588"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b w:val="0"/>
                <w:bCs/>
                <w:sz w:val="21"/>
                <w:lang w:eastAsia="zh-CN"/>
              </w:rPr>
            </w:pPr>
            <w:r>
              <w:rPr>
                <w:rFonts w:hint="eastAsia" w:eastAsia="宋体" w:cs="Times New Roman"/>
                <w:b w:val="0"/>
                <w:bCs/>
                <w:sz w:val="21"/>
                <w:lang w:eastAsia="zh-CN"/>
              </w:rPr>
              <w:t>贵州商学院</w:t>
            </w:r>
          </w:p>
        </w:tc>
        <w:tc>
          <w:tcPr>
            <w:tcW w:w="1523"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K0+50~K0+750</w:t>
            </w:r>
          </w:p>
        </w:tc>
        <w:tc>
          <w:tcPr>
            <w:tcW w:w="927"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左</w:t>
            </w:r>
          </w:p>
        </w:tc>
        <w:tc>
          <w:tcPr>
            <w:tcW w:w="1162" w:type="dxa"/>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w w:val="95"/>
                <w:sz w:val="21"/>
                <w:lang w:val="en-US" w:eastAsia="zh-CN"/>
              </w:rPr>
            </w:pPr>
            <w:r>
              <w:rPr>
                <w:rFonts w:hint="eastAsia" w:eastAsia="宋体" w:cs="Times New Roman"/>
                <w:b w:val="0"/>
                <w:bCs/>
                <w:w w:val="95"/>
                <w:sz w:val="21"/>
                <w:lang w:val="en-US" w:eastAsia="zh-CN"/>
              </w:rPr>
              <w:t>45</w:t>
            </w:r>
          </w:p>
        </w:tc>
        <w:tc>
          <w:tcPr>
            <w:tcW w:w="1133" w:type="dxa"/>
            <w:vMerge w:val="restart"/>
            <w:tcBorders>
              <w:left w:val="single" w:color="000000" w:sz="6" w:space="0"/>
              <w:right w:val="single" w:color="000000" w:sz="6" w:space="0"/>
            </w:tcBorders>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vertAlign w:val="baseline"/>
                <w:lang w:val="en-US" w:eastAsia="zh-CN"/>
              </w:rPr>
            </w:pPr>
            <w:r>
              <w:rPr>
                <w:rFonts w:hint="eastAsia" w:eastAsia="宋体" w:cs="Times New Roman"/>
                <w:b w:val="0"/>
                <w:bCs/>
                <w:sz w:val="21"/>
                <w:vertAlign w:val="baseline"/>
                <w:lang w:val="en-US" w:eastAsia="zh-CN"/>
              </w:rPr>
              <w:t>二氧化氮、TSP</w:t>
            </w:r>
          </w:p>
        </w:tc>
        <w:tc>
          <w:tcPr>
            <w:tcW w:w="2477" w:type="dxa"/>
            <w:tcBorders>
              <w:left w:val="single" w:color="000000" w:sz="6" w:space="0"/>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23" name="图片 23" descr="照片IMG_20200519_16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照片IMG_20200519_164640"/>
                          <pic:cNvPicPr>
                            <a:picLocks noChangeAspect="1"/>
                          </pic:cNvPicPr>
                        </pic:nvPicPr>
                        <pic:blipFill>
                          <a:blip r:embed="rId15"/>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9</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K4+50</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右侧</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50</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31" name="图片 31" descr="IMG_20200519_17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00519_172430"/>
                          <pic:cNvPicPr>
                            <a:picLocks noChangeAspect="1"/>
                          </pic:cNvPicPr>
                        </pic:nvPicPr>
                        <pic:blipFill>
                          <a:blip r:embed="rId23"/>
                          <a:stretch>
                            <a:fillRect/>
                          </a:stretch>
                        </pic:blipFill>
                        <pic:spPr>
                          <a:xfrm>
                            <a:off x="0" y="0"/>
                            <a:ext cx="1331595" cy="9982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jc w:val="center"/>
        </w:trPr>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sz w:val="21"/>
                <w:lang w:val="en-US" w:eastAsia="zh-CN"/>
              </w:rPr>
            </w:pPr>
            <w:r>
              <w:rPr>
                <w:rFonts w:hint="eastAsia" w:eastAsia="宋体" w:cs="Times New Roman"/>
                <w:b w:val="0"/>
                <w:bCs/>
                <w:sz w:val="21"/>
                <w:lang w:val="en-US" w:eastAsia="zh-CN"/>
              </w:rPr>
              <w:t>12</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沙文中学（白云区第六初级中学）</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K7+096</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终点</w:t>
            </w:r>
          </w:p>
        </w:tc>
        <w:tc>
          <w:tcPr>
            <w:tcW w:w="0" w:type="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93</w:t>
            </w:r>
          </w:p>
        </w:tc>
        <w:tc>
          <w:tcPr>
            <w:tcW w:w="113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p>
        </w:tc>
        <w:tc>
          <w:tcPr>
            <w:tcW w:w="24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drawing>
                <wp:inline distT="0" distB="0" distL="114300" distR="114300">
                  <wp:extent cx="1331595" cy="998220"/>
                  <wp:effectExtent l="0" t="0" r="1905" b="11430"/>
                  <wp:docPr id="34" name="图片 34" descr="IMG_20200519_1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00519_174512"/>
                          <pic:cNvPicPr>
                            <a:picLocks noChangeAspect="1"/>
                          </pic:cNvPicPr>
                        </pic:nvPicPr>
                        <pic:blipFill>
                          <a:blip r:embed="rId26"/>
                          <a:stretch>
                            <a:fillRect/>
                          </a:stretch>
                        </pic:blipFill>
                        <pic:spPr>
                          <a:xfrm>
                            <a:off x="0" y="0"/>
                            <a:ext cx="1331595" cy="998220"/>
                          </a:xfrm>
                          <a:prstGeom prst="rect">
                            <a:avLst/>
                          </a:prstGeom>
                        </pic:spPr>
                      </pic:pic>
                    </a:graphicData>
                  </a:graphic>
                </wp:inline>
              </w:drawing>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监测频率：</w:t>
      </w:r>
    </w:p>
    <w:p>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噪声：昼间2次，夜间1次，连续监测2天；</w:t>
      </w:r>
    </w:p>
    <w:p>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环境空气：监测日均值，监测3天。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56" w:name="_Toc30127"/>
      <w:r>
        <w:rPr>
          <w:rFonts w:hint="eastAsia" w:ascii="Times New Roman" w:hAnsi="Times New Roman" w:eastAsia="宋体" w:cs="Times New Roman"/>
          <w:sz w:val="24"/>
          <w:szCs w:val="24"/>
          <w:lang w:val="en-US" w:eastAsia="zh-CN"/>
        </w:rPr>
        <w:t>6.2.3监测结果</w:t>
      </w:r>
      <w:bookmarkEnd w:id="5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sectPr>
          <w:pgSz w:w="11906" w:h="16838"/>
          <w:pgMar w:top="1440" w:right="1800" w:bottom="1440" w:left="1800" w:header="850" w:footer="992" w:gutter="0"/>
          <w:pgNumType w:fmt="decimal"/>
          <w:cols w:space="425" w:num="1"/>
          <w:docGrid w:type="lines" w:linePitch="312" w:charSpace="0"/>
        </w:sectPr>
      </w:pPr>
      <w:r>
        <w:rPr>
          <w:rFonts w:hint="eastAsia" w:ascii="Times New Roman" w:hAnsi="Times New Roman" w:eastAsia="宋体" w:cs="Times New Roman"/>
          <w:sz w:val="24"/>
          <w:szCs w:val="24"/>
          <w:lang w:val="en-US" w:eastAsia="zh-CN"/>
        </w:rPr>
        <w:t>监测结果见表6.2.3-1和6.2.3-2。</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表6.2.3-1噪声监测结果</w:t>
      </w:r>
    </w:p>
    <w:tbl>
      <w:tblPr>
        <w:tblStyle w:val="10"/>
        <w:tblW w:w="14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1376"/>
        <w:gridCol w:w="660"/>
        <w:gridCol w:w="253"/>
        <w:gridCol w:w="913"/>
        <w:gridCol w:w="913"/>
        <w:gridCol w:w="913"/>
        <w:gridCol w:w="913"/>
        <w:gridCol w:w="913"/>
        <w:gridCol w:w="913"/>
        <w:gridCol w:w="920"/>
        <w:gridCol w:w="1166"/>
        <w:gridCol w:w="1117"/>
        <w:gridCol w:w="917"/>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1111"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监测点位</w:t>
            </w:r>
          </w:p>
        </w:tc>
        <w:tc>
          <w:tcPr>
            <w:tcW w:w="137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监测日期</w:t>
            </w:r>
          </w:p>
        </w:tc>
        <w:tc>
          <w:tcPr>
            <w:tcW w:w="1826" w:type="dxa"/>
            <w:gridSpan w:val="3"/>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监测时间</w:t>
            </w:r>
          </w:p>
        </w:tc>
        <w:tc>
          <w:tcPr>
            <w:tcW w:w="5485" w:type="dxa"/>
            <w:gridSpan w:val="6"/>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监测结果（dB）</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eastAsia="宋体" w:cs="Times New Roman"/>
                <w:bCs/>
                <w:sz w:val="21"/>
                <w:szCs w:val="21"/>
                <w:vertAlign w:val="baseline"/>
                <w:lang w:val="en-US" w:eastAsia="zh-CN"/>
              </w:rPr>
              <w:t>达标等级</w:t>
            </w:r>
          </w:p>
        </w:tc>
        <w:tc>
          <w:tcPr>
            <w:tcW w:w="3113" w:type="dxa"/>
            <w:gridSpan w:val="3"/>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车流量统计（辆/20min）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sz w:val="21"/>
                <w:szCs w:val="21"/>
              </w:rPr>
            </w:pPr>
          </w:p>
        </w:tc>
        <w:tc>
          <w:tcPr>
            <w:tcW w:w="1376"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sz w:val="21"/>
                <w:szCs w:val="21"/>
              </w:rPr>
            </w:pPr>
          </w:p>
        </w:tc>
        <w:tc>
          <w:tcPr>
            <w:tcW w:w="1826" w:type="dxa"/>
            <w:gridSpan w:val="3"/>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sz w:val="21"/>
                <w:szCs w:val="21"/>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Leq</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subscript"/>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max</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90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L</w:t>
            </w:r>
            <w:r>
              <w:rPr>
                <w:rFonts w:hint="default" w:ascii="Times New Roman" w:hAnsi="Times New Roman" w:cs="Times New Roman"/>
                <w:bCs/>
                <w:sz w:val="21"/>
                <w:szCs w:val="21"/>
                <w:vertAlign w:val="subscript"/>
                <w:lang w:val="en-US" w:eastAsia="zh-CN"/>
              </w:rPr>
              <w:t>min</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大型车</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中型车</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小型车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贵州商学院</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6:13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40.9</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22:07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46.0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22:11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46.2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亮天寨1</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6:28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w:t>
            </w:r>
            <w:r>
              <w:rPr>
                <w:rFonts w:hint="eastAsia" w:ascii="Times New Roman" w:hAnsi="Times New Roman" w:cs="Times New Roman"/>
                <w:bCs/>
                <w:sz w:val="21"/>
                <w:szCs w:val="21"/>
                <w:vertAlign w:val="baseline"/>
                <w:lang w:val="en-US" w:eastAsia="zh-CN"/>
              </w:rPr>
              <w:t>:</w:t>
            </w:r>
            <w:r>
              <w:rPr>
                <w:rFonts w:hint="default" w:ascii="Times New Roman" w:hAnsi="Times New Roman" w:cs="Times New Roman"/>
                <w:bCs/>
                <w:sz w:val="21"/>
                <w:szCs w:val="21"/>
                <w:vertAlign w:val="baseline"/>
                <w:lang w:val="en-US" w:eastAsia="zh-CN"/>
              </w:rPr>
              <w:t>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22:33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46.2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6:44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22:39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45.8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亮天寨2</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15:13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56.2</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46.0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7:11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913" w:type="dxa"/>
            <w:gridSpan w:val="2"/>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91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43.8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高坡村1</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7:24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80.1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50.7</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15:45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7:42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35.6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15:29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43.4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高坡村2</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7:50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16:11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00:16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8:08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15:57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76.1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00:07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43.4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沙子坡</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8:20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00:47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8:36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81.9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16:27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53.4</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00</w:t>
            </w:r>
            <w:r>
              <w:rPr>
                <w:rFonts w:hint="eastAsia" w:ascii="Times New Roman" w:hAnsi="Times New Roman" w:cs="Times New Roman"/>
                <w:bCs/>
                <w:sz w:val="21"/>
                <w:szCs w:val="21"/>
                <w:vertAlign w:val="baseline"/>
                <w:lang w:val="en-US" w:eastAsia="zh-CN"/>
              </w:rPr>
              <w:t>:</w:t>
            </w:r>
            <w:r>
              <w:rPr>
                <w:rFonts w:hint="default" w:ascii="Times New Roman" w:hAnsi="Times New Roman" w:cs="Times New Roman"/>
                <w:bCs/>
                <w:sz w:val="21"/>
                <w:szCs w:val="21"/>
                <w:vertAlign w:val="baseline"/>
                <w:lang w:val="en-US" w:eastAsia="zh-CN"/>
              </w:rPr>
              <w:t>37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董柒坝</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8:51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49.3</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71.9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01:17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43.0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9:09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1:10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48.2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麻堡组</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9</w:t>
            </w:r>
            <w:r>
              <w:rPr>
                <w:rFonts w:hint="eastAsia" w:ascii="Times New Roman" w:hAnsi="Times New Roman" w:cs="Times New Roman"/>
                <w:bCs/>
                <w:sz w:val="21"/>
                <w:szCs w:val="21"/>
                <w:vertAlign w:val="baseline"/>
                <w:lang w:val="en-US" w:eastAsia="zh-CN"/>
              </w:rPr>
              <w:t>:</w:t>
            </w:r>
            <w:r>
              <w:rPr>
                <w:rFonts w:hint="default" w:ascii="Times New Roman" w:hAnsi="Times New Roman" w:cs="Times New Roman"/>
                <w:bCs/>
                <w:sz w:val="21"/>
                <w:szCs w:val="21"/>
                <w:vertAlign w:val="baseline"/>
                <w:lang w:val="en-US" w:eastAsia="zh-CN"/>
              </w:rPr>
              <w:t>19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77.7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01:44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38.9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9:39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1:41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46.6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45.7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太阳湖滨河公园1</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9:46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02:12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48.6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10:07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71.4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2</w:t>
            </w:r>
            <w:r>
              <w:rPr>
                <w:rFonts w:hint="eastAsia" w:ascii="Times New Roman" w:hAnsi="Times New Roman" w:cs="Times New Roman"/>
                <w:bCs/>
                <w:sz w:val="21"/>
                <w:szCs w:val="21"/>
                <w:vertAlign w:val="baseline"/>
                <w:lang w:val="en-US" w:eastAsia="zh-CN"/>
              </w:rPr>
              <w:t>:</w:t>
            </w:r>
            <w:r>
              <w:rPr>
                <w:rFonts w:hint="default" w:ascii="Times New Roman" w:hAnsi="Times New Roman" w:cs="Times New Roman"/>
                <w:bCs/>
                <w:sz w:val="21"/>
                <w:szCs w:val="21"/>
                <w:vertAlign w:val="baseline"/>
                <w:lang w:val="en-US" w:eastAsia="zh-CN"/>
              </w:rPr>
              <w:t>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潘家湾</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10:31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79.3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52.9</w:t>
            </w:r>
          </w:p>
        </w:tc>
        <w:tc>
          <w:tcPr>
            <w:tcW w:w="116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eastAsia" w:ascii="Times New Roman" w:hAnsi="Times New Roman" w:cs="Times New Roman"/>
                <w:bCs/>
                <w:sz w:val="21"/>
                <w:szCs w:val="21"/>
                <w:vertAlign w:val="baseline"/>
                <w:lang w:val="en-US" w:eastAsia="zh-CN"/>
              </w:rPr>
              <w:t>《声环境质量标准》（3096-2008）4a类</w:t>
            </w: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75.1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43.9</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02:45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45.4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18:34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61.2</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56.5</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2:40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45.8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44.0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沙文镇</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11:00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46.4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19:12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03:16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39.8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37.6</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11:13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76.9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69.6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57.0</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21</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65.0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54.3</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3:15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42.0</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35.8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沙文中学（白云区第六初级中学）</w:t>
            </w: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11:28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67.4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55.7</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19:42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68.8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25</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03:46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59.8</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47.2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43.8</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43.1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昼间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11:43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81.7</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58.6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56.4</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660"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20:00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64.9</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78.4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66.0</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63.4</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57.4</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54.1</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2</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111" w:type="dxa"/>
            <w:vMerge w:val="continue"/>
            <w:vAlign w:val="center"/>
          </w:tcPr>
          <w:p>
            <w:pPr>
              <w:pStyle w:val="3"/>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3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66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eastAsia="宋体" w:cs="Times New Roman"/>
                <w:bCs/>
                <w:sz w:val="21"/>
                <w:szCs w:val="21"/>
                <w:vertAlign w:val="baseline"/>
                <w:lang w:val="en-US" w:eastAsia="zh-CN"/>
              </w:rPr>
              <w:t>夜间</w:t>
            </w:r>
          </w:p>
        </w:tc>
        <w:tc>
          <w:tcPr>
            <w:tcW w:w="1166"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w:t>
            </w:r>
            <w:r>
              <w:rPr>
                <w:rFonts w:hint="default" w:ascii="Times New Roman" w:hAnsi="Times New Roman" w:cs="Times New Roman"/>
                <w:bCs/>
                <w:sz w:val="21"/>
                <w:szCs w:val="21"/>
                <w:vertAlign w:val="baseline"/>
                <w:lang w:val="en-US" w:eastAsia="zh-CN"/>
              </w:rPr>
              <w:t>3:45</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49.1</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56.3</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52.6</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48.2</w:t>
            </w:r>
          </w:p>
        </w:tc>
        <w:tc>
          <w:tcPr>
            <w:tcW w:w="91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39.6</w:t>
            </w:r>
          </w:p>
        </w:tc>
        <w:tc>
          <w:tcPr>
            <w:tcW w:w="92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34.8</w:t>
            </w:r>
          </w:p>
        </w:tc>
        <w:tc>
          <w:tcPr>
            <w:tcW w:w="116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p>
        </w:tc>
        <w:tc>
          <w:tcPr>
            <w:tcW w:w="11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w:t>
            </w:r>
          </w:p>
        </w:tc>
        <w:tc>
          <w:tcPr>
            <w:tcW w:w="917"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w:t>
            </w:r>
          </w:p>
        </w:tc>
        <w:tc>
          <w:tcPr>
            <w:tcW w:w="1079"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表6.2.3-2环境空气监测结果</w:t>
      </w:r>
    </w:p>
    <w:tbl>
      <w:tblPr>
        <w:tblStyle w:val="10"/>
        <w:tblW w:w="97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2"/>
        <w:gridCol w:w="2426"/>
        <w:gridCol w:w="1872"/>
        <w:gridCol w:w="1873"/>
        <w:gridCol w:w="2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9" w:hRule="atLeast"/>
          <w:tblHeader/>
          <w:jc w:val="center"/>
        </w:trPr>
        <w:tc>
          <w:tcPr>
            <w:tcW w:w="162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采样</w:t>
            </w:r>
            <w:r>
              <w:rPr>
                <w:rFonts w:hint="default" w:ascii="Times New Roman" w:hAnsi="Times New Roman" w:eastAsia="宋体" w:cs="Times New Roman"/>
                <w:bCs/>
                <w:sz w:val="21"/>
                <w:szCs w:val="21"/>
                <w:vertAlign w:val="baseline"/>
                <w:lang w:val="en-US" w:eastAsia="zh-CN"/>
              </w:rPr>
              <w:t>日期</w:t>
            </w:r>
          </w:p>
        </w:tc>
        <w:tc>
          <w:tcPr>
            <w:tcW w:w="242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监测点位</w:t>
            </w:r>
          </w:p>
        </w:tc>
        <w:tc>
          <w:tcPr>
            <w:tcW w:w="374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监测结果</w:t>
            </w:r>
          </w:p>
        </w:tc>
        <w:tc>
          <w:tcPr>
            <w:tcW w:w="200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9" w:hRule="atLeast"/>
          <w:tblHeader/>
          <w:jc w:val="center"/>
        </w:trPr>
        <w:tc>
          <w:tcPr>
            <w:tcW w:w="162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p>
        </w:tc>
        <w:tc>
          <w:tcPr>
            <w:tcW w:w="242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p>
        </w:tc>
        <w:tc>
          <w:tcPr>
            <w:tcW w:w="187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TSP（μg/m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vertAlign w:val="baseline"/>
                <w:lang w:val="en-US" w:eastAsia="zh-CN"/>
              </w:rPr>
              <w:t>）</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二氧化氮（μg/m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vertAlign w:val="baseline"/>
                <w:lang w:val="en-US" w:eastAsia="zh-CN"/>
              </w:rPr>
              <w:t>）</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2020.07.07</w:t>
            </w: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cs="Times New Roman"/>
                <w:sz w:val="21"/>
                <w:szCs w:val="21"/>
                <w:lang w:val="en-US" w:eastAsia="zh-CN" w:bidi="ar-SA"/>
              </w:rPr>
              <w:t>贵州商学院</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bCs/>
                <w:sz w:val="21"/>
                <w:szCs w:val="21"/>
                <w:vertAlign w:val="baseline"/>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132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9</w:t>
            </w:r>
          </w:p>
        </w:tc>
        <w:tc>
          <w:tcPr>
            <w:tcW w:w="200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《环境空气质量标准》（GB3095-2012）二级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2020.07.08</w:t>
            </w: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cs="Times New Roman"/>
                <w:sz w:val="21"/>
                <w:szCs w:val="21"/>
                <w:lang w:val="en-US" w:eastAsia="zh-CN" w:bidi="ar-SA"/>
              </w:rPr>
              <w:t>贵州商学院</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165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7</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lang w:val="en-US" w:eastAsia="zh-CN"/>
              </w:rPr>
              <w:t>2020.07.09</w:t>
            </w: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贵州商学院</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138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12</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2020.07.10</w:t>
            </w: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白云区第六初级中学</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155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19</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158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2020.07.11</w:t>
            </w: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白云区第六初级中学</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154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21</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jc w:val="center"/>
        </w:trPr>
        <w:tc>
          <w:tcPr>
            <w:tcW w:w="162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153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18</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3" w:hRule="atLeast"/>
          <w:jc w:val="center"/>
        </w:trPr>
        <w:tc>
          <w:tcPr>
            <w:tcW w:w="162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2020.07.12</w:t>
            </w: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白云区第六初级中学</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152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21</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9" w:hRule="atLeast"/>
          <w:jc w:val="center"/>
        </w:trPr>
        <w:tc>
          <w:tcPr>
            <w:tcW w:w="162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rPr>
            </w:pPr>
          </w:p>
        </w:tc>
        <w:tc>
          <w:tcPr>
            <w:tcW w:w="2426" w:type="dxa"/>
            <w:vAlign w:val="center"/>
          </w:tcPr>
          <w:p>
            <w:pPr>
              <w:keepNext w:val="0"/>
              <w:keepLines w:val="0"/>
              <w:pageBreakBefore w:val="0"/>
              <w:widowControl/>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cs="Times New Roman"/>
                <w:b w:val="0"/>
                <w:bCs w:val="0"/>
                <w:color w:val="000000" w:themeColor="text1"/>
                <w:sz w:val="21"/>
                <w:szCs w:val="21"/>
                <w:vertAlign w:val="baseline"/>
                <w:lang w:val="en-US" w:eastAsia="zh-CN"/>
                <w14:textFill>
                  <w14:solidFill>
                    <w14:schemeClr w14:val="tx1"/>
                  </w14:solidFill>
                </w14:textFill>
              </w:rPr>
              <w:t>太阳湖滨河公园</w:t>
            </w:r>
          </w:p>
        </w:tc>
        <w:tc>
          <w:tcPr>
            <w:tcW w:w="187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154 </w:t>
            </w:r>
          </w:p>
        </w:tc>
        <w:tc>
          <w:tcPr>
            <w:tcW w:w="187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bidi="ar-SA"/>
              </w:rPr>
              <w:t>16</w:t>
            </w:r>
          </w:p>
        </w:tc>
        <w:tc>
          <w:tcPr>
            <w:tcW w:w="200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lang w:val="en-US" w:eastAsia="zh-CN" w:bidi="ar-SA"/>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由以上监测结果可以看出本工程道路全线噪声监测结果符合《声环境质量标准》（GB 3096-2008）的要求；环境空气监测结果达到《环境空气质量标准》（GB3095-2012）二级标准要求。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1"/>
        <w:rPr>
          <w:rFonts w:hint="eastAsia" w:ascii="Times New Roman" w:hAnsi="Times New Roman" w:eastAsia="宋体" w:cs="Times New Roman"/>
          <w:sz w:val="24"/>
          <w:szCs w:val="24"/>
          <w:lang w:val="en-US" w:eastAsia="zh-CN"/>
        </w:rPr>
      </w:pPr>
      <w:bookmarkStart w:id="57" w:name="_Toc957"/>
      <w:r>
        <w:rPr>
          <w:rFonts w:hint="eastAsia" w:ascii="Times New Roman" w:hAnsi="Times New Roman" w:eastAsia="宋体" w:cs="Times New Roman"/>
          <w:sz w:val="24"/>
          <w:szCs w:val="24"/>
          <w:lang w:val="en-US" w:eastAsia="zh-CN"/>
        </w:rPr>
        <w:t>6.3水环境</w:t>
      </w:r>
      <w:bookmarkEnd w:id="5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58" w:name="_Toc13352"/>
      <w:r>
        <w:rPr>
          <w:rFonts w:hint="eastAsia" w:ascii="Times New Roman" w:hAnsi="Times New Roman" w:eastAsia="宋体" w:cs="Times New Roman"/>
          <w:sz w:val="24"/>
          <w:szCs w:val="24"/>
          <w:lang w:val="en-US" w:eastAsia="zh-CN"/>
        </w:rPr>
        <w:t>6.3.1水环境污染源调查</w:t>
      </w:r>
      <w:bookmarkEnd w:id="5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本工程未设置服务区、收费站等，无生活污水排放，主要污染源为道路冲洗废水及雨水冲刷路面产生的污水，主要污染物为SS。本项目污水仅边沟收纳处理就近排入麦架河。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高山河桥、麦架河桥1、麦架河支流桥、麦架河桥2两端设置了污水收集池，经沉淀后就近排入水体。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本工程调查范围内印台山水井现已掩埋，无水流出，无其他地下水出露点。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2"/>
        <w:rPr>
          <w:rFonts w:hint="eastAsia" w:ascii="Times New Roman" w:hAnsi="Times New Roman" w:eastAsia="宋体" w:cs="Times New Roman"/>
          <w:sz w:val="24"/>
          <w:szCs w:val="24"/>
          <w:lang w:val="en-US" w:eastAsia="zh-CN"/>
        </w:rPr>
      </w:pPr>
      <w:bookmarkStart w:id="59" w:name="_Toc663"/>
      <w:r>
        <w:rPr>
          <w:rFonts w:hint="eastAsia" w:ascii="Times New Roman" w:hAnsi="Times New Roman" w:eastAsia="宋体" w:cs="Times New Roman"/>
          <w:sz w:val="24"/>
          <w:szCs w:val="24"/>
          <w:lang w:val="en-US" w:eastAsia="zh-CN"/>
        </w:rPr>
        <w:t>6.3.2监测内容</w:t>
      </w:r>
      <w:bookmarkEnd w:id="5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本工程调查范围内所涉及的水体为麦架河，监测内容见表6.3.2-1.</w:t>
      </w:r>
    </w:p>
    <w:p>
      <w:pPr>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表6.3.2-1 地表水监测一览表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2587"/>
        <w:gridCol w:w="2677"/>
        <w:gridCol w:w="1466"/>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8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25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监测点位</w:t>
            </w:r>
          </w:p>
        </w:tc>
        <w:tc>
          <w:tcPr>
            <w:tcW w:w="26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监测因子</w:t>
            </w:r>
          </w:p>
        </w:tc>
        <w:tc>
          <w:tcPr>
            <w:tcW w:w="146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监测频率</w:t>
            </w:r>
          </w:p>
        </w:tc>
        <w:tc>
          <w:tcPr>
            <w:tcW w:w="9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8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w:t>
            </w:r>
          </w:p>
        </w:tc>
        <w:tc>
          <w:tcPr>
            <w:tcW w:w="258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麦沙大道跨麦架河处下游200m</w:t>
            </w:r>
          </w:p>
        </w:tc>
        <w:tc>
          <w:tcPr>
            <w:tcW w:w="267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cs="Times New Roman"/>
                <w:bCs/>
                <w:color w:val="000000"/>
                <w:sz w:val="21"/>
                <w:szCs w:val="21"/>
                <w:lang w:val="en-US" w:eastAsia="zh-CN"/>
              </w:rPr>
              <w:t>水温、流量、</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pH、COD、氨氮、BOD</w:t>
            </w:r>
            <w:r>
              <w:rPr>
                <w:rFonts w:hint="eastAsia" w:ascii="Times New Roman" w:hAnsi="Times New Roman" w:cs="Times New Roman"/>
                <w:b w:val="0"/>
                <w:bCs w:val="0"/>
                <w:color w:val="000000" w:themeColor="text1"/>
                <w:sz w:val="21"/>
                <w:szCs w:val="21"/>
                <w:vertAlign w:val="subscript"/>
                <w:lang w:val="en-US" w:eastAsia="zh-CN"/>
                <w14:textFill>
                  <w14:solidFill>
                    <w14:schemeClr w14:val="tx1"/>
                  </w14:solidFill>
                </w14:textFill>
              </w:rPr>
              <w:t>5</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、SS、石油类</w:t>
            </w:r>
          </w:p>
        </w:tc>
        <w:tc>
          <w:tcPr>
            <w:tcW w:w="146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r>
              <w:rPr>
                <w:rFonts w:hint="eastAsia" w:cs="Times New Roman"/>
                <w:bCs/>
                <w:color w:val="000000"/>
                <w:sz w:val="21"/>
                <w:szCs w:val="21"/>
                <w:lang w:val="en-US" w:eastAsia="zh-CN"/>
              </w:rPr>
              <w:t>1</w:t>
            </w:r>
            <w:r>
              <w:rPr>
                <w:rFonts w:hint="default" w:ascii="Times New Roman" w:hAnsi="Times New Roman" w:cs="Times New Roman"/>
                <w:bCs/>
                <w:color w:val="000000"/>
                <w:sz w:val="21"/>
                <w:szCs w:val="21"/>
                <w:lang w:val="en-US" w:eastAsia="zh-CN"/>
              </w:rPr>
              <w:t>次/天，连续监测</w:t>
            </w:r>
            <w:r>
              <w:rPr>
                <w:rFonts w:hint="eastAsia" w:cs="Times New Roman"/>
                <w:bCs/>
                <w:color w:val="000000"/>
                <w:sz w:val="21"/>
                <w:szCs w:val="21"/>
                <w:lang w:val="en-US" w:eastAsia="zh-CN"/>
              </w:rPr>
              <w:t>3</w:t>
            </w:r>
            <w:r>
              <w:rPr>
                <w:rFonts w:hint="default" w:ascii="Times New Roman" w:hAnsi="Times New Roman" w:cs="Times New Roman"/>
                <w:bCs/>
                <w:color w:val="000000"/>
                <w:sz w:val="21"/>
                <w:szCs w:val="21"/>
                <w:lang w:val="en-US" w:eastAsia="zh-CN"/>
              </w:rPr>
              <w:t>天</w:t>
            </w:r>
          </w:p>
        </w:tc>
        <w:tc>
          <w:tcPr>
            <w:tcW w:w="96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szCs w:val="24"/>
                <w:vertAlign w:val="baseli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0" w:name="_Toc27110"/>
      <w:r>
        <w:rPr>
          <w:rFonts w:hint="eastAsia" w:ascii="Times New Roman" w:hAnsi="Times New Roman" w:eastAsia="宋体" w:cs="Times New Roman"/>
          <w:sz w:val="24"/>
          <w:szCs w:val="24"/>
          <w:lang w:val="en-US" w:eastAsia="zh-CN"/>
        </w:rPr>
        <w:t>6.3.3监测结果</w:t>
      </w:r>
      <w:bookmarkEnd w:id="6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贵州明德工程咨询有限公司于2020年07月06日对本项目涉及地表水进行监测，监测结果见表6.3.3-1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表6.3.3-1 地表水监测结果</w:t>
      </w:r>
    </w:p>
    <w:tbl>
      <w:tblPr>
        <w:tblStyle w:val="10"/>
        <w:tblW w:w="9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1663"/>
        <w:gridCol w:w="1650"/>
        <w:gridCol w:w="1700"/>
        <w:gridCol w:w="1179"/>
        <w:gridCol w:w="1"/>
        <w:gridCol w:w="1182"/>
        <w:gridCol w:w="1176"/>
        <w:gridCol w:w="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446"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检测项目</w:t>
            </w:r>
          </w:p>
        </w:tc>
        <w:tc>
          <w:tcPr>
            <w:tcW w:w="5013" w:type="dxa"/>
            <w:gridSpan w:val="3"/>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监测点位/采样日期/样品编号/检测结果</w:t>
            </w:r>
          </w:p>
        </w:tc>
        <w:tc>
          <w:tcPr>
            <w:tcW w:w="1180"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平均值</w:t>
            </w:r>
          </w:p>
        </w:tc>
        <w:tc>
          <w:tcPr>
            <w:tcW w:w="1182" w:type="dxa"/>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before="999" w:beforeLines="320"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标准限值</w:t>
            </w:r>
          </w:p>
        </w:tc>
        <w:tc>
          <w:tcPr>
            <w:tcW w:w="1178" w:type="dxa"/>
            <w:gridSpan w:val="2"/>
            <w:vMerge w:val="restart"/>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44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5013" w:type="dxa"/>
            <w:gridSpan w:val="3"/>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麦沙大道跨麦架河处下游200m</w:t>
            </w:r>
          </w:p>
        </w:tc>
        <w:tc>
          <w:tcPr>
            <w:tcW w:w="1180"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p>
        </w:tc>
        <w:tc>
          <w:tcPr>
            <w:tcW w:w="1182"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p>
        </w:tc>
        <w:tc>
          <w:tcPr>
            <w:tcW w:w="1178"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44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2020.07.06</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2020.07.07</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2020.07.08</w:t>
            </w:r>
          </w:p>
        </w:tc>
        <w:tc>
          <w:tcPr>
            <w:tcW w:w="1180"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82"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78"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579" w:hRule="atLeast"/>
          <w:jc w:val="center"/>
        </w:trPr>
        <w:tc>
          <w:tcPr>
            <w:tcW w:w="1446" w:type="dxa"/>
            <w:vMerge w:val="continue"/>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MDJ20-0064W2-101</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MDJ20-0064W2-201</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MDJ20-0064W2-301</w:t>
            </w:r>
          </w:p>
        </w:tc>
        <w:tc>
          <w:tcPr>
            <w:tcW w:w="1179"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83" w:type="dxa"/>
            <w:gridSpan w:val="2"/>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c>
          <w:tcPr>
            <w:tcW w:w="1176"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水温</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w:t>
            </w: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21.9</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22.3</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23.4</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22.5 </w:t>
            </w:r>
          </w:p>
        </w:tc>
        <w:tc>
          <w:tcPr>
            <w:tcW w:w="1183" w:type="dxa"/>
            <w:gridSpan w:val="2"/>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c>
          <w:tcPr>
            <w:tcW w:w="11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流量</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（m</w:t>
            </w:r>
            <w:r>
              <w:rPr>
                <w:rFonts w:hint="default" w:ascii="Times New Roman" w:hAnsi="Times New Roman" w:cs="Times New Roman"/>
                <w:bCs/>
                <w:sz w:val="21"/>
                <w:szCs w:val="21"/>
                <w:vertAlign w:val="superscript"/>
                <w:lang w:val="en-US" w:eastAsia="zh-CN"/>
              </w:rPr>
              <w:t>3</w:t>
            </w:r>
            <w:r>
              <w:rPr>
                <w:rFonts w:hint="default" w:ascii="Times New Roman" w:hAnsi="Times New Roman" w:cs="Times New Roman"/>
                <w:bCs/>
                <w:sz w:val="21"/>
                <w:szCs w:val="21"/>
                <w:vertAlign w:val="baseline"/>
                <w:lang w:val="en-US" w:eastAsia="zh-CN"/>
              </w:rPr>
              <w:t>/h）</w:t>
            </w:r>
          </w:p>
        </w:tc>
        <w:tc>
          <w:tcPr>
            <w:tcW w:w="1663"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color w:val="FF0000"/>
                <w:kern w:val="2"/>
                <w:sz w:val="21"/>
                <w:szCs w:val="21"/>
                <w:vertAlign w:val="baseline"/>
                <w:lang w:val="en-US" w:eastAsia="zh-CN" w:bidi="ar-SA"/>
              </w:rPr>
            </w:pPr>
            <w:r>
              <w:rPr>
                <w:rFonts w:hint="eastAsia" w:ascii="Times New Roman" w:hAnsi="Times New Roman" w:cs="Times New Roman"/>
                <w:bCs/>
                <w:color w:val="FF0000"/>
                <w:sz w:val="21"/>
                <w:szCs w:val="21"/>
                <w:vertAlign w:val="baseline"/>
                <w:lang w:val="en-US" w:eastAsia="zh-CN"/>
              </w:rPr>
              <w:t>3.21</w:t>
            </w:r>
            <w:r>
              <w:rPr>
                <w:rFonts w:hint="default" w:ascii="Arial" w:hAnsi="Arial" w:cs="Arial"/>
                <w:bCs/>
                <w:color w:val="FF0000"/>
                <w:sz w:val="21"/>
                <w:szCs w:val="21"/>
                <w:vertAlign w:val="baseline"/>
                <w:lang w:val="en-US" w:eastAsia="zh-CN"/>
              </w:rPr>
              <w:t>×</w:t>
            </w:r>
            <w:r>
              <w:rPr>
                <w:rFonts w:hint="eastAsia" w:ascii="Times New Roman" w:hAnsi="Times New Roman" w:cs="Times New Roman"/>
                <w:bCs/>
                <w:color w:val="FF0000"/>
                <w:sz w:val="21"/>
                <w:szCs w:val="21"/>
                <w:vertAlign w:val="baseline"/>
                <w:lang w:val="en-US" w:eastAsia="zh-CN"/>
              </w:rPr>
              <w:t>10</w:t>
            </w:r>
            <w:r>
              <w:rPr>
                <w:rFonts w:hint="eastAsia" w:ascii="Times New Roman" w:hAnsi="Times New Roman" w:cs="Times New Roman"/>
                <w:bCs/>
                <w:color w:val="FF0000"/>
                <w:sz w:val="21"/>
                <w:szCs w:val="21"/>
                <w:vertAlign w:val="superscript"/>
                <w:lang w:val="en-US" w:eastAsia="zh-CN"/>
              </w:rPr>
              <w:t>3</w:t>
            </w:r>
          </w:p>
        </w:tc>
        <w:tc>
          <w:tcPr>
            <w:tcW w:w="165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color w:val="FF0000"/>
                <w:kern w:val="2"/>
                <w:sz w:val="21"/>
                <w:szCs w:val="21"/>
                <w:vertAlign w:val="baseline"/>
                <w:lang w:val="en-US" w:eastAsia="zh-CN" w:bidi="ar-SA"/>
              </w:rPr>
            </w:pPr>
            <w:r>
              <w:rPr>
                <w:rFonts w:hint="eastAsia" w:ascii="Times New Roman" w:hAnsi="Times New Roman" w:cs="Times New Roman"/>
                <w:bCs/>
                <w:color w:val="FF0000"/>
                <w:sz w:val="21"/>
                <w:szCs w:val="21"/>
                <w:vertAlign w:val="baseline"/>
                <w:lang w:val="en-US" w:eastAsia="zh-CN"/>
              </w:rPr>
              <w:t>3.03</w:t>
            </w:r>
            <w:r>
              <w:rPr>
                <w:rFonts w:hint="default" w:ascii="Arial" w:hAnsi="Arial" w:cs="Arial"/>
                <w:bCs/>
                <w:color w:val="FF0000"/>
                <w:sz w:val="21"/>
                <w:szCs w:val="21"/>
                <w:vertAlign w:val="baseline"/>
                <w:lang w:val="en-US" w:eastAsia="zh-CN"/>
              </w:rPr>
              <w:t>×</w:t>
            </w:r>
            <w:r>
              <w:rPr>
                <w:rFonts w:hint="eastAsia" w:ascii="Times New Roman" w:hAnsi="Times New Roman" w:cs="Times New Roman"/>
                <w:bCs/>
                <w:color w:val="FF0000"/>
                <w:sz w:val="21"/>
                <w:szCs w:val="21"/>
                <w:vertAlign w:val="baseline"/>
                <w:lang w:val="en-US" w:eastAsia="zh-CN"/>
              </w:rPr>
              <w:t>10</w:t>
            </w:r>
            <w:r>
              <w:rPr>
                <w:rFonts w:hint="eastAsia" w:ascii="Times New Roman" w:hAnsi="Times New Roman" w:cs="Times New Roman"/>
                <w:bCs/>
                <w:color w:val="FF0000"/>
                <w:sz w:val="21"/>
                <w:szCs w:val="21"/>
                <w:vertAlign w:val="superscript"/>
                <w:lang w:val="en-US" w:eastAsia="zh-CN"/>
              </w:rPr>
              <w:t>3</w:t>
            </w:r>
          </w:p>
        </w:tc>
        <w:tc>
          <w:tcPr>
            <w:tcW w:w="1700"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color w:val="FF0000"/>
                <w:kern w:val="2"/>
                <w:sz w:val="21"/>
                <w:szCs w:val="21"/>
                <w:vertAlign w:val="baseline"/>
                <w:lang w:val="en-US" w:eastAsia="zh-CN" w:bidi="ar-SA"/>
              </w:rPr>
            </w:pPr>
            <w:r>
              <w:rPr>
                <w:rFonts w:hint="eastAsia" w:ascii="Times New Roman" w:hAnsi="Times New Roman" w:cs="Times New Roman"/>
                <w:bCs/>
                <w:color w:val="FF0000"/>
                <w:sz w:val="21"/>
                <w:szCs w:val="21"/>
                <w:vertAlign w:val="baseline"/>
                <w:lang w:val="en-US" w:eastAsia="zh-CN"/>
              </w:rPr>
              <w:t>3.39</w:t>
            </w:r>
            <w:r>
              <w:rPr>
                <w:rFonts w:hint="default" w:ascii="Arial" w:hAnsi="Arial" w:cs="Arial"/>
                <w:bCs/>
                <w:color w:val="FF0000"/>
                <w:sz w:val="21"/>
                <w:szCs w:val="21"/>
                <w:vertAlign w:val="baseline"/>
                <w:lang w:val="en-US" w:eastAsia="zh-CN"/>
              </w:rPr>
              <w:t>×</w:t>
            </w:r>
            <w:r>
              <w:rPr>
                <w:rFonts w:hint="eastAsia" w:ascii="Times New Roman" w:hAnsi="Times New Roman" w:cs="Times New Roman"/>
                <w:bCs/>
                <w:color w:val="FF0000"/>
                <w:sz w:val="21"/>
                <w:szCs w:val="21"/>
                <w:vertAlign w:val="baseline"/>
                <w:lang w:val="en-US" w:eastAsia="zh-CN"/>
              </w:rPr>
              <w:t>10</w:t>
            </w:r>
            <w:r>
              <w:rPr>
                <w:rFonts w:hint="eastAsia" w:ascii="Times New Roman" w:hAnsi="Times New Roman" w:cs="Times New Roman"/>
                <w:bCs/>
                <w:color w:val="FF0000"/>
                <w:sz w:val="21"/>
                <w:szCs w:val="21"/>
                <w:vertAlign w:val="superscript"/>
                <w:lang w:val="en-US" w:eastAsia="zh-CN"/>
              </w:rPr>
              <w:t>3</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color w:val="FF0000"/>
                <w:sz w:val="21"/>
                <w:szCs w:val="21"/>
                <w:vertAlign w:val="baseline"/>
                <w:lang w:val="en-US" w:eastAsia="zh-CN"/>
              </w:rPr>
            </w:pPr>
            <w:r>
              <w:rPr>
                <w:rFonts w:hint="eastAsia" w:ascii="Times New Roman" w:hAnsi="Times New Roman" w:eastAsia="宋体" w:cs="Times New Roman"/>
                <w:i w:val="0"/>
                <w:color w:val="FF0000"/>
                <w:kern w:val="0"/>
                <w:sz w:val="21"/>
                <w:szCs w:val="21"/>
                <w:u w:val="none"/>
                <w:lang w:val="en-US" w:eastAsia="zh-CN" w:bidi="ar"/>
              </w:rPr>
              <w:t>3.21</w:t>
            </w:r>
            <w:r>
              <w:rPr>
                <w:rFonts w:hint="default" w:ascii="Arial" w:hAnsi="Arial" w:cs="Arial"/>
                <w:bCs/>
                <w:color w:val="FF0000"/>
                <w:sz w:val="21"/>
                <w:szCs w:val="21"/>
                <w:vertAlign w:val="baseline"/>
                <w:lang w:val="en-US" w:eastAsia="zh-CN"/>
              </w:rPr>
              <w:t>×</w:t>
            </w:r>
            <w:r>
              <w:rPr>
                <w:rFonts w:hint="eastAsia" w:ascii="Times New Roman" w:hAnsi="Times New Roman" w:cs="Times New Roman"/>
                <w:bCs/>
                <w:color w:val="FF0000"/>
                <w:sz w:val="21"/>
                <w:szCs w:val="21"/>
                <w:vertAlign w:val="baseline"/>
                <w:lang w:val="en-US" w:eastAsia="zh-CN"/>
              </w:rPr>
              <w:t>10</w:t>
            </w:r>
            <w:r>
              <w:rPr>
                <w:rFonts w:hint="eastAsia" w:ascii="Times New Roman" w:hAnsi="Times New Roman" w:cs="Times New Roman"/>
                <w:bCs/>
                <w:color w:val="FF0000"/>
                <w:sz w:val="21"/>
                <w:szCs w:val="21"/>
                <w:vertAlign w:val="superscript"/>
                <w:lang w:val="en-US" w:eastAsia="zh-CN"/>
              </w:rPr>
              <w:t>3</w:t>
            </w:r>
          </w:p>
        </w:tc>
        <w:tc>
          <w:tcPr>
            <w:tcW w:w="1183" w:type="dxa"/>
            <w:gridSpan w:val="2"/>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c>
          <w:tcPr>
            <w:tcW w:w="11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pH</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（无量纲）</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7.51</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7.56</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7.59</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7.55 </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6~9</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eastAsiaTheme="minorEastAsia"/>
                <w:color w:val="auto"/>
                <w:sz w:val="21"/>
                <w:szCs w:val="21"/>
                <w:lang w:eastAsia="zh-CN"/>
              </w:rPr>
              <w:t>悬浮物</w:t>
            </w:r>
            <w:r>
              <w:rPr>
                <w:rFonts w:hint="default" w:ascii="Times New Roman" w:hAnsi="Times New Roman" w:cs="Times New Roman"/>
                <w:bCs/>
                <w:sz w:val="21"/>
                <w:szCs w:val="21"/>
                <w:vertAlign w:val="baseline"/>
                <w:lang w:val="en-US" w:eastAsia="zh-CN"/>
              </w:rPr>
              <w:t>（mg/L）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14</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15</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17</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15 </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氨氮</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0.300</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0.403</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0.295</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 xml:space="preserve">0.333 </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1.0</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化学需氧量（mg/L）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24</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24</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bidi="ar-SA"/>
              </w:rPr>
              <w:t>21</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bidi="ar-SA"/>
              </w:rPr>
            </w:pPr>
            <w:r>
              <w:rPr>
                <w:rFonts w:hint="default" w:ascii="Times New Roman" w:hAnsi="Times New Roman" w:eastAsia="宋体" w:cs="Times New Roman"/>
                <w:i w:val="0"/>
                <w:color w:val="000000"/>
                <w:kern w:val="0"/>
                <w:sz w:val="21"/>
                <w:szCs w:val="21"/>
                <w:u w:val="none"/>
                <w:lang w:val="en-US" w:eastAsia="zh-CN" w:bidi="ar"/>
              </w:rPr>
              <w:t>23</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eastAsia" w:ascii="Times New Roman" w:hAnsi="Times New Roman" w:cs="Times New Roman"/>
                <w:bCs/>
                <w:sz w:val="21"/>
                <w:szCs w:val="21"/>
                <w:vertAlign w:val="baseline"/>
                <w:lang w:val="en-US" w:eastAsia="zh-CN" w:bidi="ar-SA"/>
              </w:rPr>
              <w:t>20</w:t>
            </w:r>
          </w:p>
        </w:tc>
        <w:tc>
          <w:tcPr>
            <w:tcW w:w="117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bidi="ar-SA"/>
              </w:rPr>
            </w:pPr>
            <w:r>
              <w:rPr>
                <w:rFonts w:hint="eastAsia" w:ascii="Times New Roman" w:hAnsi="Times New Roman" w:cs="Times New Roman"/>
                <w:bCs/>
                <w:sz w:val="21"/>
                <w:szCs w:val="21"/>
                <w:vertAlign w:val="baseline"/>
                <w:lang w:val="en-US" w:eastAsia="zh-CN" w:bidi="ar-S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23"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eastAsiaTheme="minorEastAsia"/>
                <w:color w:val="auto"/>
                <w:sz w:val="21"/>
                <w:szCs w:val="21"/>
                <w:vertAlign w:val="subscript"/>
                <w:lang w:eastAsia="zh-CN"/>
              </w:rPr>
            </w:pPr>
            <w:r>
              <w:rPr>
                <w:rFonts w:hint="default" w:ascii="Times New Roman" w:hAnsi="Times New Roman" w:cs="Times New Roman" w:eastAsiaTheme="minorEastAsia"/>
                <w:color w:val="auto"/>
                <w:sz w:val="21"/>
                <w:szCs w:val="21"/>
                <w:lang w:eastAsia="zh-CN"/>
              </w:rPr>
              <w:t>BOD</w:t>
            </w:r>
            <w:r>
              <w:rPr>
                <w:rFonts w:hint="default" w:ascii="Times New Roman" w:hAnsi="Times New Roman" w:cs="Times New Roman" w:eastAsiaTheme="minorEastAsia"/>
                <w:color w:val="auto"/>
                <w:sz w:val="21"/>
                <w:szCs w:val="21"/>
                <w:vertAlign w:val="subscript"/>
                <w:lang w:eastAsia="zh-CN"/>
              </w:rPr>
              <w:t>5</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（mg/L）</w:t>
            </w:r>
          </w:p>
        </w:tc>
        <w:tc>
          <w:tcPr>
            <w:tcW w:w="1663" w:type="dxa"/>
            <w:vAlign w:val="center"/>
          </w:tcPr>
          <w:p>
            <w:pPr>
              <w:widowControl/>
              <w:jc w:val="center"/>
              <w:textAlignment w:val="center"/>
              <w:rPr>
                <w:rFonts w:hint="default" w:ascii="Times New Roman" w:hAnsi="Times New Roman" w:eastAsia="宋体" w:cs="Times New Roman"/>
                <w:bCs/>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t>7.2</w:t>
            </w:r>
          </w:p>
        </w:tc>
        <w:tc>
          <w:tcPr>
            <w:tcW w:w="1650" w:type="dxa"/>
            <w:vAlign w:val="center"/>
          </w:tcPr>
          <w:p>
            <w:pPr>
              <w:widowControl/>
              <w:jc w:val="center"/>
              <w:textAlignment w:val="center"/>
              <w:rPr>
                <w:rFonts w:hint="default" w:ascii="Times New Roman" w:hAnsi="Times New Roman" w:eastAsia="宋体" w:cs="Times New Roman"/>
                <w:bCs/>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t>6.1</w:t>
            </w:r>
          </w:p>
        </w:tc>
        <w:tc>
          <w:tcPr>
            <w:tcW w:w="1700" w:type="dxa"/>
            <w:vAlign w:val="center"/>
          </w:tcPr>
          <w:p>
            <w:pPr>
              <w:widowControl/>
              <w:jc w:val="center"/>
              <w:textAlignment w:val="center"/>
              <w:rPr>
                <w:rFonts w:hint="default" w:ascii="Times New Roman" w:hAnsi="Times New Roman" w:eastAsia="宋体" w:cs="Times New Roman"/>
                <w:bCs/>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t>7.0</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i w:val="0"/>
                <w:color w:val="000000"/>
                <w:kern w:val="0"/>
                <w:sz w:val="21"/>
                <w:szCs w:val="21"/>
                <w:u w:val="none"/>
                <w:lang w:val="en-US" w:eastAsia="zh-CN" w:bidi="ar"/>
              </w:rPr>
              <w:t xml:space="preserve">7 </w:t>
            </w:r>
          </w:p>
        </w:tc>
        <w:tc>
          <w:tcPr>
            <w:tcW w:w="1183" w:type="dxa"/>
            <w:gridSpan w:val="2"/>
            <w:vAlign w:val="center"/>
          </w:tcPr>
          <w:p>
            <w:pPr>
              <w:widowControl/>
              <w:jc w:val="center"/>
              <w:textAlignment w:val="cente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4</w:t>
            </w:r>
          </w:p>
        </w:tc>
        <w:tc>
          <w:tcPr>
            <w:tcW w:w="1176" w:type="dxa"/>
            <w:vAlign w:val="center"/>
          </w:tcPr>
          <w:p>
            <w:pPr>
              <w:widowControl/>
              <w:jc w:val="center"/>
              <w:textAlignment w:val="center"/>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sz w:val="21"/>
                <w:szCs w:val="21"/>
                <w:vertAlign w:val="baseline"/>
                <w:lang w:val="en-US" w:eastAsia="zh-CN" w:bidi="ar-S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88" w:hRule="exact"/>
          <w:jc w:val="center"/>
        </w:trPr>
        <w:tc>
          <w:tcPr>
            <w:tcW w:w="1446"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石油类</w:t>
            </w:r>
          </w:p>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(mg/L)</w:t>
            </w:r>
          </w:p>
        </w:tc>
        <w:tc>
          <w:tcPr>
            <w:tcW w:w="1663"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0.34</w:t>
            </w:r>
          </w:p>
        </w:tc>
        <w:tc>
          <w:tcPr>
            <w:tcW w:w="165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0.31</w:t>
            </w:r>
          </w:p>
        </w:tc>
        <w:tc>
          <w:tcPr>
            <w:tcW w:w="1700" w:type="dxa"/>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eastAsiaTheme="minorEastAsia"/>
                <w:bCs/>
                <w:kern w:val="2"/>
                <w:sz w:val="21"/>
                <w:szCs w:val="21"/>
                <w:vertAlign w:val="baseline"/>
                <w:lang w:val="en-US" w:eastAsia="zh-CN" w:bidi="ar-SA"/>
              </w:rPr>
            </w:pPr>
            <w:r>
              <w:rPr>
                <w:rFonts w:hint="default" w:ascii="Times New Roman" w:hAnsi="Times New Roman" w:cs="Times New Roman"/>
                <w:bCs/>
                <w:sz w:val="21"/>
                <w:szCs w:val="21"/>
                <w:vertAlign w:val="baseline"/>
                <w:lang w:val="en-US" w:eastAsia="zh-CN"/>
              </w:rPr>
              <w:t>0.37</w:t>
            </w:r>
          </w:p>
        </w:tc>
        <w:tc>
          <w:tcPr>
            <w:tcW w:w="1179" w:type="dxa"/>
            <w:vAlign w:val="center"/>
          </w:tcPr>
          <w:p>
            <w:pPr>
              <w:keepNext w:val="0"/>
              <w:keepLines w:val="0"/>
              <w:widowControl/>
              <w:suppressLineNumbers w:val="0"/>
              <w:jc w:val="center"/>
              <w:textAlignment w:val="center"/>
              <w:rPr>
                <w:rFonts w:hint="default" w:ascii="Times New Roman" w:hAnsi="Times New Roman" w:cs="Times New Roman"/>
                <w:bCs/>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0.34</w:t>
            </w:r>
          </w:p>
        </w:tc>
        <w:tc>
          <w:tcPr>
            <w:tcW w:w="1183" w:type="dxa"/>
            <w:gridSpan w:val="2"/>
            <w:vAlign w:val="center"/>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0.05</w:t>
            </w:r>
          </w:p>
        </w:tc>
        <w:tc>
          <w:tcPr>
            <w:tcW w:w="1176"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bidi="ar-S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88" w:hRule="exact"/>
          <w:jc w:val="center"/>
        </w:trPr>
        <w:tc>
          <w:tcPr>
            <w:tcW w:w="9997" w:type="dxa"/>
            <w:gridSpan w:val="8"/>
            <w:vAlign w:val="top"/>
          </w:tcPr>
          <w:p>
            <w:pPr>
              <w:pStyle w:val="3"/>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cs="Times New Roman"/>
                <w:bCs/>
                <w:sz w:val="21"/>
                <w:szCs w:val="21"/>
                <w:vertAlign w:val="baseline"/>
                <w:lang w:val="en-US" w:eastAsia="zh-CN"/>
              </w:rPr>
            </w:pPr>
            <w:r>
              <w:rPr>
                <w:rFonts w:hint="eastAsia" w:ascii="Times New Roman" w:hAnsi="Times New Roman" w:cs="Times New Roman"/>
                <w:bCs/>
                <w:sz w:val="21"/>
                <w:szCs w:val="21"/>
                <w:vertAlign w:val="baseline"/>
                <w:lang w:val="en-US" w:eastAsia="zh-CN"/>
              </w:rPr>
              <w:t>《地表水环境质量标准》（GB 3838-2002）</w:t>
            </w:r>
            <w:r>
              <w:rPr>
                <w:rFonts w:hint="eastAsia" w:ascii="宋体" w:hAnsi="宋体" w:eastAsia="宋体" w:cs="宋体"/>
                <w:bCs/>
                <w:sz w:val="21"/>
                <w:szCs w:val="21"/>
                <w:vertAlign w:val="baseline"/>
                <w:lang w:val="en-US" w:eastAsia="zh-CN"/>
              </w:rPr>
              <w:t>Ⅲ</w:t>
            </w:r>
            <w:r>
              <w:rPr>
                <w:rFonts w:hint="eastAsia" w:ascii="Times New Roman" w:hAnsi="Times New Roman" w:cs="Times New Roman"/>
                <w:bCs/>
                <w:sz w:val="21"/>
                <w:szCs w:val="21"/>
                <w:vertAlign w:val="baseline"/>
                <w:lang w:val="en-US" w:eastAsia="zh-CN"/>
              </w:rPr>
              <w:t>类水标准</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从以上监测结果可看出五日生化需氧量和化学需氧量监测结果已超《地表水环境质量标准》（GB 3838-2002）Ⅲ类水标准，超标倍数分别为0.75和0.15；其余指标均达到《地表水环境质量标准》（GB 3838-2002）Ⅲ类水标准。从本工程环评报告上可知化学需氧量、五日生化需氧量超标倍数分别为0.19、1.03、0.80，由此可以看出本工程验收期间麦架河水质较本工程环评期间有所好转。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61" w:name="_Toc10000"/>
      <w:r>
        <w:rPr>
          <w:rFonts w:hint="eastAsia" w:ascii="Times New Roman" w:hAnsi="Times New Roman" w:eastAsia="宋体" w:cs="Times New Roman"/>
          <w:sz w:val="24"/>
          <w:szCs w:val="24"/>
          <w:lang w:val="en-US" w:eastAsia="zh-CN"/>
        </w:rPr>
        <w:t>6.4固体废物</w:t>
      </w:r>
      <w:bookmarkEnd w:id="6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本工程无收费站、服务区等，主要固废为道路清扫固废及行人丢弃的垃圾。本工程沿线已设置垃圾箱或垃圾收集池，由环卫部门统一收集运走，进行处理，因此运营期固废对环境影响很小。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62" w:name="_Toc5505"/>
      <w:r>
        <w:rPr>
          <w:rFonts w:hint="eastAsia" w:ascii="Times New Roman" w:hAnsi="Times New Roman" w:eastAsia="宋体" w:cs="Times New Roman"/>
          <w:b/>
          <w:bCs/>
          <w:sz w:val="24"/>
          <w:szCs w:val="24"/>
          <w:lang w:val="en-US" w:eastAsia="zh-CN"/>
        </w:rPr>
        <w:t>7 环境管理与监测计划的落实</w:t>
      </w:r>
      <w:bookmarkEnd w:id="6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63" w:name="_Toc6868"/>
      <w:r>
        <w:rPr>
          <w:rFonts w:hint="eastAsia" w:ascii="Times New Roman" w:hAnsi="Times New Roman" w:eastAsia="宋体" w:cs="Times New Roman"/>
          <w:sz w:val="24"/>
          <w:szCs w:val="24"/>
          <w:lang w:val="en-US" w:eastAsia="zh-CN"/>
        </w:rPr>
        <w:t>7.1环境管理情况</w:t>
      </w:r>
      <w:bookmarkEnd w:id="6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4" w:name="_Toc4504"/>
      <w:r>
        <w:rPr>
          <w:rFonts w:hint="eastAsia" w:ascii="Times New Roman" w:hAnsi="Times New Roman" w:eastAsia="宋体" w:cs="Times New Roman"/>
          <w:sz w:val="24"/>
          <w:szCs w:val="24"/>
          <w:lang w:val="en-US" w:eastAsia="zh-CN"/>
        </w:rPr>
        <w:t>7.1.1施工期环境管理</w:t>
      </w:r>
      <w:bookmarkEnd w:id="6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建设单位设置了环境管理机构；在公路建设过程中重视环境保护工作，要求承包单位、设计单位和各施工单位加强环保意识，将环保工作与工程质量挂钩，在实施中由工程监理部门不定期检查总结，</w:t>
      </w:r>
      <w:r>
        <w:rPr>
          <w:rFonts w:hint="eastAsia" w:ascii="Times New Roman" w:hAnsi="Times New Roman" w:eastAsia="宋体" w:cs="Times New Roman"/>
          <w:sz w:val="24"/>
          <w:szCs w:val="24"/>
          <w:lang w:val="en-US" w:eastAsia="zh-CN"/>
        </w:rPr>
        <w:t>严格按照环评要求的环保措施执行，</w:t>
      </w:r>
      <w:r>
        <w:rPr>
          <w:rFonts w:hint="default" w:ascii="Times New Roman" w:hAnsi="Times New Roman" w:eastAsia="宋体" w:cs="Times New Roman"/>
          <w:sz w:val="24"/>
          <w:szCs w:val="24"/>
          <w:lang w:val="en-US" w:eastAsia="zh-CN"/>
        </w:rPr>
        <w:t>确保环保工作落实到位。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5" w:name="_Toc28420"/>
      <w:r>
        <w:rPr>
          <w:rFonts w:hint="eastAsia" w:ascii="Times New Roman" w:hAnsi="Times New Roman" w:eastAsia="宋体" w:cs="Times New Roman"/>
          <w:sz w:val="24"/>
          <w:szCs w:val="24"/>
          <w:lang w:val="en-US" w:eastAsia="zh-CN"/>
        </w:rPr>
        <w:t>7.1.2运营期环境管理</w:t>
      </w:r>
      <w:bookmarkEnd w:id="6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贵阳高科控股集团有限公司设置专门的环境管理部门，对环境管理相关资料进行管理，对道路沿线的环保措施进行维护与保养，对有损坏的环保措施及时维修或更换，并与环卫部门形成合作，由环卫部门清运垃圾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66" w:name="_Toc20419"/>
      <w:r>
        <w:rPr>
          <w:rFonts w:hint="eastAsia" w:ascii="Times New Roman" w:hAnsi="Times New Roman" w:eastAsia="宋体" w:cs="Times New Roman"/>
          <w:sz w:val="24"/>
          <w:szCs w:val="24"/>
          <w:lang w:val="en-US" w:eastAsia="zh-CN"/>
        </w:rPr>
        <w:t>7.1.3建议</w:t>
      </w:r>
      <w:bookmarkEnd w:id="6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从现场调查的情况看来，项目环境保护工作取得了较好的效果，但也存在一些有必要持续改善的工作，故本次调查提出以下建议：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1、健全环境管理机构，确定专人负责环境保护工作，以保证各项环保措施长期落实。</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2、完善环境管理制度，建立环保设施日常检查、维护的专项规章制度。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3、加强对上路车辆的检查和管理，严禁高噪声和未加盖篷布的散装物料运载车辆上路。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4、对全体职工进行环保工作方面的宣传教育，不断提高职工的环保意识。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67" w:name="_Toc18414"/>
      <w:r>
        <w:rPr>
          <w:rFonts w:hint="eastAsia" w:ascii="Times New Roman" w:hAnsi="Times New Roman" w:eastAsia="宋体" w:cs="Times New Roman"/>
          <w:sz w:val="24"/>
          <w:szCs w:val="24"/>
          <w:lang w:val="en-US" w:eastAsia="zh-CN"/>
        </w:rPr>
        <w:t>7.2监测计划的落实</w:t>
      </w:r>
      <w:bookmarkEnd w:id="6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sectPr>
          <w:pgSz w:w="11906" w:h="16838"/>
          <w:pgMar w:top="1440" w:right="1800" w:bottom="1440" w:left="1800" w:header="850" w:footer="992" w:gutter="0"/>
          <w:pgNumType w:fmt="decimal"/>
          <w:cols w:space="425" w:num="1"/>
          <w:docGrid w:type="lines" w:linePitch="312" w:charSpace="0"/>
        </w:sectPr>
      </w:pPr>
      <w:r>
        <w:rPr>
          <w:rFonts w:hint="eastAsia" w:ascii="Times New Roman" w:hAnsi="Times New Roman" w:eastAsia="宋体" w:cs="Times New Roman"/>
          <w:sz w:val="24"/>
          <w:szCs w:val="24"/>
          <w:lang w:val="en-US" w:eastAsia="zh-CN"/>
        </w:rPr>
        <w:t>根据贵阳高科控股集团有限公司提供的资料，结合现场调查情况，监测计划落实情况详见表7.2-1。</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表7.2-1监测计划落实情况</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260"/>
        <w:gridCol w:w="2324"/>
        <w:gridCol w:w="2026"/>
        <w:gridCol w:w="1743"/>
        <w:gridCol w:w="2042"/>
        <w:gridCol w:w="3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125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阶段</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类别</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监测地点</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监测项目</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监测频次</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监测时间</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4"/>
                <w:szCs w:val="24"/>
                <w:vertAlign w:val="baseline"/>
                <w:lang w:val="en-US" w:eastAsia="zh-CN"/>
              </w:rPr>
            </w:pPr>
            <w:r>
              <w:rPr>
                <w:rFonts w:hint="eastAsia" w:ascii="Times New Roman" w:hAnsi="Times New Roman" w:eastAsia="宋体" w:cs="Times New Roman"/>
                <w:b/>
                <w:bCs/>
                <w:sz w:val="24"/>
                <w:szCs w:val="24"/>
                <w:vertAlign w:val="baseline"/>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25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施工期</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环境空气</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施工营地附近敏感点2处</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TSP</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2次/年或随机抽样监测</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1天，施工时间上、下午各1次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声环境</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村庄、学校</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等效连续A声级</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2天/年</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昼间、夜间各1次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水环境</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麦架河桥下游1000m</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SS、COD、石油类、BOD</w:t>
            </w:r>
            <w:r>
              <w:rPr>
                <w:rFonts w:hint="eastAsia" w:ascii="Times New Roman" w:hAnsi="Times New Roman" w:eastAsia="宋体" w:cs="Times New Roman"/>
                <w:sz w:val="24"/>
                <w:szCs w:val="24"/>
                <w:vertAlign w:val="subscript"/>
                <w:lang w:val="en-US" w:eastAsia="zh-CN"/>
              </w:rPr>
              <w:t>5</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施工期间，4次/年</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采样1次，2天</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印台山水井</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高锰酸盐指数、氨氮、总大肠菌群</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每年随机抽查2次</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采样1次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trPr>
        <w:tc>
          <w:tcPr>
            <w:tcW w:w="125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运营期</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环境空气</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沙文镇、王家院</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NO</w:t>
            </w:r>
            <w:r>
              <w:rPr>
                <w:rFonts w:hint="eastAsia" w:ascii="Times New Roman" w:hAnsi="Times New Roman" w:eastAsia="宋体" w:cs="Times New Roman"/>
                <w:sz w:val="24"/>
                <w:szCs w:val="24"/>
                <w:vertAlign w:val="subscript"/>
                <w:lang w:val="en-US" w:eastAsia="zh-CN"/>
              </w:rPr>
              <w:t>2</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2次/年（春季和冬季）</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3~5天/次，24小时连续监测</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未监测，王家院已搬迁，不予监测，沙文镇监测引用区域内环境质量实时监控数据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125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声环境</w:t>
            </w:r>
          </w:p>
        </w:tc>
        <w:tc>
          <w:tcPr>
            <w:tcW w:w="232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高坡村、王家院、沙文镇、沙文中学</w:t>
            </w:r>
          </w:p>
        </w:tc>
        <w:tc>
          <w:tcPr>
            <w:tcW w:w="202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等效连续A声级</w:t>
            </w:r>
          </w:p>
        </w:tc>
        <w:tc>
          <w:tcPr>
            <w:tcW w:w="17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1天/年</w:t>
            </w:r>
          </w:p>
        </w:tc>
        <w:tc>
          <w:tcPr>
            <w:tcW w:w="20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昼间、夜间各1次</w:t>
            </w:r>
          </w:p>
        </w:tc>
        <w:tc>
          <w:tcPr>
            <w:tcW w:w="346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4"/>
                <w:szCs w:val="24"/>
                <w:vertAlign w:val="baseline"/>
                <w:lang w:val="en-US" w:eastAsia="zh-CN" w:bidi="ar-SA"/>
              </w:rPr>
            </w:pPr>
            <w:r>
              <w:rPr>
                <w:rFonts w:hint="eastAsia" w:ascii="Times New Roman" w:hAnsi="Times New Roman" w:eastAsia="宋体" w:cs="Times New Roman"/>
                <w:sz w:val="24"/>
                <w:szCs w:val="24"/>
                <w:vertAlign w:val="baseline"/>
                <w:lang w:val="en-US" w:eastAsia="zh-CN"/>
              </w:rPr>
              <w:t>未监测</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lang w:val="en-US" w:eastAsia="zh-CN"/>
        </w:rPr>
        <w:sectPr>
          <w:pgSz w:w="16838" w:h="11906" w:orient="landscape"/>
          <w:pgMar w:top="1800" w:right="1440" w:bottom="1800" w:left="1440" w:header="850"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经过走访，本工程环评所列环境监测计划虽未得到完全实施，但由于施工期和运营期建设单位均严格按照环境管理程序执行，完善相关环保措施，均未有扰民、投诉等现象发生。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为了解本工程项目运营期道路沿线噪声、环境空气、地表水等现状情况，贵州明德工程咨询有限公司于2020年07月6日~2020年07月12日对本工程项目进行现场监测，监测报告详见附件三。</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b/>
          <w:bCs/>
          <w:sz w:val="24"/>
          <w:szCs w:val="24"/>
          <w:lang w:val="en-US" w:eastAsia="zh-CN"/>
        </w:rPr>
      </w:pPr>
      <w:bookmarkStart w:id="68" w:name="_Toc16358"/>
      <w:r>
        <w:rPr>
          <w:rFonts w:hint="eastAsia" w:ascii="Times New Roman" w:hAnsi="Times New Roman" w:eastAsia="宋体" w:cs="Times New Roman"/>
          <w:b/>
          <w:bCs/>
          <w:sz w:val="24"/>
          <w:szCs w:val="24"/>
          <w:lang w:val="en-US" w:eastAsia="zh-CN"/>
        </w:rPr>
        <w:t>8 公众意见调查</w:t>
      </w:r>
      <w:bookmarkEnd w:id="68"/>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69" w:name="_Toc26503"/>
      <w:r>
        <w:rPr>
          <w:rFonts w:hint="eastAsia" w:ascii="Times New Roman" w:hAnsi="Times New Roman" w:eastAsia="宋体" w:cs="Times New Roman"/>
          <w:sz w:val="24"/>
          <w:szCs w:val="24"/>
          <w:lang w:val="en-US" w:eastAsia="zh-CN"/>
        </w:rPr>
        <w:t>8.1调查的目的、对象、方法</w:t>
      </w:r>
      <w:bookmarkEnd w:id="6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70" w:name="_Toc28473"/>
      <w:r>
        <w:rPr>
          <w:rFonts w:hint="eastAsia" w:ascii="Times New Roman" w:hAnsi="Times New Roman" w:eastAsia="宋体" w:cs="Times New Roman"/>
          <w:sz w:val="24"/>
          <w:szCs w:val="24"/>
          <w:lang w:val="en-US" w:eastAsia="zh-CN"/>
        </w:rPr>
        <w:t>8.1.1调查的目的</w:t>
      </w:r>
      <w:bookmarkEnd w:id="7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对公众意见调查，了解本工程影响区域公众、途经人员和沿线有关行政管理部门的意见和要求，以核查设计、环评及批复中提出的环保措施落实情况，必要时为改进已有环保措施和提出补救措施提供有效途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eastAsia" w:ascii="Times New Roman" w:hAnsi="Times New Roman" w:eastAsia="宋体" w:cs="Times New Roman"/>
          <w:sz w:val="24"/>
          <w:szCs w:val="24"/>
          <w:lang w:val="en-US" w:eastAsia="zh-CN"/>
        </w:rPr>
      </w:pPr>
      <w:bookmarkStart w:id="71" w:name="_Toc5337"/>
      <w:r>
        <w:rPr>
          <w:rFonts w:hint="eastAsia" w:ascii="Times New Roman" w:hAnsi="Times New Roman" w:eastAsia="宋体" w:cs="Times New Roman"/>
          <w:sz w:val="24"/>
          <w:szCs w:val="24"/>
          <w:lang w:val="en-US" w:eastAsia="zh-CN"/>
        </w:rPr>
        <w:t>8.1.2调查的对象</w:t>
      </w:r>
      <w:bookmarkEnd w:id="7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本次公众意见调查主要在公路沿线的影响区域内进行，调查对象为直接受影响的公众个人、公路上来往的司乘人员。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eastAsia" w:ascii="Times New Roman" w:hAnsi="Times New Roman" w:eastAsia="宋体" w:cs="Times New Roman"/>
          <w:sz w:val="24"/>
          <w:szCs w:val="24"/>
          <w:lang w:val="en-US" w:eastAsia="zh-CN"/>
        </w:rPr>
      </w:pPr>
      <w:bookmarkStart w:id="72" w:name="_Toc1159"/>
      <w:r>
        <w:rPr>
          <w:rFonts w:hint="eastAsia" w:ascii="Times New Roman" w:hAnsi="Times New Roman" w:eastAsia="宋体" w:cs="Times New Roman"/>
          <w:sz w:val="24"/>
          <w:szCs w:val="24"/>
          <w:lang w:val="en-US" w:eastAsia="zh-CN"/>
        </w:rPr>
        <w:t>8.1.3调查的方式</w:t>
      </w:r>
      <w:bookmarkEnd w:id="7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w:t>
      </w:r>
      <w:r>
        <w:rPr>
          <w:rFonts w:hint="default" w:ascii="Times New Roman" w:hAnsi="Times New Roman" w:eastAsia="宋体" w:cs="Times New Roman"/>
          <w:sz w:val="24"/>
          <w:szCs w:val="24"/>
          <w:lang w:val="en-US" w:eastAsia="zh-CN"/>
        </w:rPr>
        <w:t>公众意见调查采取</w:t>
      </w:r>
      <w:r>
        <w:rPr>
          <w:rFonts w:hint="eastAsia" w:ascii="Times New Roman" w:hAnsi="Times New Roman" w:eastAsia="宋体" w:cs="Times New Roman"/>
          <w:sz w:val="24"/>
          <w:szCs w:val="24"/>
          <w:lang w:val="en-US" w:eastAsia="zh-CN"/>
        </w:rPr>
        <w:t>以下两种</w:t>
      </w:r>
      <w:r>
        <w:rPr>
          <w:rFonts w:hint="default" w:ascii="Times New Roman" w:hAnsi="Times New Roman" w:eastAsia="宋体" w:cs="Times New Roman"/>
          <w:sz w:val="24"/>
          <w:szCs w:val="24"/>
          <w:lang w:val="en-US" w:eastAsia="zh-CN"/>
        </w:rPr>
        <w:t>方法：</w:t>
      </w:r>
    </w:p>
    <w:p>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咨询询问调查方式，重点对公路沿线直接受影响的居民</w:t>
      </w:r>
      <w:r>
        <w:rPr>
          <w:rFonts w:hint="eastAsia" w:ascii="Times New Roman" w:hAnsi="Times New Roman" w:eastAsia="宋体" w:cs="Times New Roman"/>
          <w:sz w:val="24"/>
          <w:szCs w:val="24"/>
          <w:lang w:val="en-US" w:eastAsia="zh-CN"/>
        </w:rPr>
        <w:t>及司乘人员</w:t>
      </w:r>
      <w:r>
        <w:rPr>
          <w:rFonts w:hint="default" w:ascii="Times New Roman" w:hAnsi="Times New Roman" w:eastAsia="宋体" w:cs="Times New Roman"/>
          <w:sz w:val="24"/>
          <w:szCs w:val="24"/>
          <w:lang w:val="en-US" w:eastAsia="zh-CN"/>
        </w:rPr>
        <w:t>以访问的形式进行调查；</w:t>
      </w:r>
    </w:p>
    <w:p>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咨询当地有关行政主管部门，了解工程施工期和试运营期对敏感目标的影响程度及有无环保投诉情况。</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default" w:ascii="Times New Roman" w:hAnsi="Times New Roman" w:eastAsia="宋体" w:cs="Times New Roman"/>
          <w:sz w:val="24"/>
          <w:szCs w:val="24"/>
          <w:lang w:val="en-US" w:eastAsia="zh-CN"/>
        </w:rPr>
      </w:pPr>
      <w:bookmarkStart w:id="73" w:name="_Toc4033"/>
      <w:r>
        <w:rPr>
          <w:rFonts w:hint="eastAsia" w:ascii="Times New Roman" w:hAnsi="Times New Roman" w:eastAsia="宋体" w:cs="Times New Roman"/>
          <w:sz w:val="24"/>
          <w:szCs w:val="24"/>
          <w:lang w:val="en-US" w:eastAsia="zh-CN"/>
        </w:rPr>
        <w:t>8.2调查结果</w:t>
      </w:r>
      <w:bookmarkEnd w:id="7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default" w:ascii="Times New Roman" w:hAnsi="Times New Roman" w:eastAsia="宋体" w:cs="Times New Roman"/>
          <w:sz w:val="24"/>
          <w:szCs w:val="24"/>
          <w:lang w:val="en-US" w:eastAsia="zh-CN"/>
        </w:rPr>
      </w:pPr>
      <w:bookmarkStart w:id="74" w:name="_Toc11122"/>
      <w:r>
        <w:rPr>
          <w:rFonts w:hint="eastAsia" w:ascii="Times New Roman" w:hAnsi="Times New Roman" w:eastAsia="宋体" w:cs="Times New Roman"/>
          <w:sz w:val="24"/>
          <w:szCs w:val="24"/>
          <w:lang w:val="en-US" w:eastAsia="zh-CN"/>
        </w:rPr>
        <w:t>8.2.1司乘人员</w:t>
      </w:r>
      <w:bookmarkEnd w:id="7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本次调查询问司乘人员25人，调查对象组成结构见表8.2.1-1.</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表8.2.1-1司乘人员调查对象组成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blHeader/>
        </w:trPr>
        <w:tc>
          <w:tcPr>
            <w:tcW w:w="426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组成结构</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人数（人）</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性别</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男</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18</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女</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7</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年龄</w:t>
            </w:r>
          </w:p>
        </w:tc>
        <w:tc>
          <w:tcPr>
            <w:tcW w:w="213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 岁以下</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3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30-39 岁</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13</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40 岁以上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文化程度</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小学及以下</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中学</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8</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大学及以上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14</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56.0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从上表可以看出，本次司乘人员调查对象多为男性，文化程度大学及以上，年龄在30~39岁之间。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调查结果统计详见表8.2.1-2。</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表8.2.1-2司乘人员调查统计结果</w:t>
      </w:r>
    </w:p>
    <w:tbl>
      <w:tblPr>
        <w:tblStyle w:val="9"/>
        <w:tblW w:w="89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43"/>
        <w:gridCol w:w="2822"/>
        <w:gridCol w:w="1744"/>
        <w:gridCol w:w="2125"/>
        <w:gridCol w:w="16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1" w:hRule="atLeast"/>
          <w:tblHeader/>
          <w:jc w:val="center"/>
        </w:trPr>
        <w:tc>
          <w:tcPr>
            <w:tcW w:w="64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序号</w:t>
            </w:r>
          </w:p>
        </w:tc>
        <w:tc>
          <w:tcPr>
            <w:tcW w:w="2822"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调查内容</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态度</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人数</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b/>
                <w:sz w:val="21"/>
              </w:rPr>
            </w:pPr>
            <w:r>
              <w:rPr>
                <w:rFonts w:hint="eastAsia" w:ascii="宋体" w:eastAsia="宋体"/>
                <w:b/>
                <w:sz w:val="21"/>
              </w:rPr>
              <w:t>比例（</w:t>
            </w:r>
            <w:r>
              <w:rPr>
                <w:b/>
                <w:sz w:val="21"/>
              </w:rPr>
              <w:t>%</w:t>
            </w:r>
            <w:r>
              <w:rPr>
                <w:rFonts w:hint="eastAsia" w:ascii="宋体" w:eastAsia="宋体"/>
                <w:b/>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1</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修建该公路是否有利于本地区的经济发展</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有利</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25</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不利</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不知道</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2</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对沿线公路绿化情况的感觉</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满意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基本满意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4</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不满意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无所谓</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3</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公路汽车尾气排放</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一般</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24</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4</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公路运行车辆堵塞情况</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2</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一般</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3</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5</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公路上噪声影响的感觉情况</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一般</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3</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不严重</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22</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6</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局部路段是否有限速标志</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w w:val="99"/>
                <w:sz w:val="21"/>
              </w:rPr>
              <w:t>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25</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没注意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7</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学校或居民区附近是否有禁鸣标志</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w w:val="99"/>
                <w:sz w:val="21"/>
              </w:rPr>
              <w:t>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21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没有</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64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282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
                <w:szCs w:val="2"/>
              </w:rPr>
            </w:pP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没注意</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4</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rPr>
            </w:pPr>
            <w:r>
              <w:rPr>
                <w:w w:val="99"/>
                <w:sz w:val="21"/>
              </w:rPr>
              <w:t>8</w:t>
            </w:r>
          </w:p>
        </w:tc>
        <w:tc>
          <w:tcPr>
            <w:tcW w:w="2822"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建议采取何种措施减轻噪声</w:t>
            </w:r>
          </w:p>
          <w:p>
            <w:pPr>
              <w:pStyle w:val="15"/>
              <w:spacing w:before="2"/>
              <w:ind w:left="106" w:lef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影响</w:t>
            </w:r>
          </w:p>
        </w:tc>
        <w:tc>
          <w:tcPr>
            <w:tcW w:w="1744"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r>
              <w:rPr>
                <w:rFonts w:hint="eastAsia" w:ascii="宋体" w:eastAsia="宋体"/>
                <w:sz w:val="21"/>
              </w:rPr>
              <w:t>声屏障</w:t>
            </w:r>
          </w:p>
        </w:tc>
        <w:tc>
          <w:tcPr>
            <w:tcW w:w="212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sz w:val="21"/>
                <w:lang w:val="en-US" w:eastAsia="zh-CN"/>
              </w:rPr>
            </w:pPr>
            <w:r>
              <w:rPr>
                <w:rFonts w:hint="eastAsia" w:eastAsia="宋体"/>
                <w:sz w:val="21"/>
                <w:lang w:val="en-US" w:eastAsia="zh-CN"/>
              </w:rPr>
              <w:t>1</w:t>
            </w:r>
          </w:p>
        </w:tc>
        <w:tc>
          <w:tcPr>
            <w:tcW w:w="1663"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lang w:val="en-US" w:eastAsia="zh-CN"/>
              </w:rPr>
            </w:pPr>
            <w:r>
              <w:rPr>
                <w:rFonts w:hint="eastAsia" w:eastAsia="宋体"/>
                <w:sz w:val="21"/>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spacing w:before="2"/>
              <w:ind w:left="106" w:leftChars="0"/>
              <w:jc w:val="center"/>
              <w:rPr>
                <w:rFonts w:hint="eastAsia" w:ascii="宋体" w:hAnsi="Times New Roman" w:eastAsia="宋体" w:cs="Times New Roman"/>
                <w:kern w:val="2"/>
                <w:sz w:val="21"/>
                <w:szCs w:val="24"/>
                <w:lang w:val="zh-CN" w:eastAsia="zh-CN" w:bidi="zh-CN"/>
              </w:rPr>
            </w:pPr>
          </w:p>
        </w:tc>
        <w:tc>
          <w:tcPr>
            <w:tcW w:w="1744" w:type="dxa"/>
            <w:vAlign w:val="center"/>
          </w:tcPr>
          <w:p>
            <w:pPr>
              <w:pStyle w:val="15"/>
              <w:spacing w:before="6"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绿化</w:t>
            </w:r>
          </w:p>
        </w:tc>
        <w:tc>
          <w:tcPr>
            <w:tcW w:w="2125" w:type="dxa"/>
            <w:vAlign w:val="center"/>
          </w:tcPr>
          <w:p>
            <w:pPr>
              <w:pStyle w:val="15"/>
              <w:spacing w:before="20"/>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21</w:t>
            </w:r>
          </w:p>
        </w:tc>
        <w:tc>
          <w:tcPr>
            <w:tcW w:w="1663" w:type="dxa"/>
            <w:vAlign w:val="center"/>
          </w:tcPr>
          <w:p>
            <w:pPr>
              <w:pStyle w:val="15"/>
              <w:spacing w:before="20"/>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1744" w:type="dxa"/>
            <w:vAlign w:val="center"/>
          </w:tcPr>
          <w:p>
            <w:pPr>
              <w:pStyle w:val="15"/>
              <w:spacing w:before="7"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拆迁</w:t>
            </w:r>
          </w:p>
        </w:tc>
        <w:tc>
          <w:tcPr>
            <w:tcW w:w="2125" w:type="dxa"/>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3</w:t>
            </w:r>
          </w:p>
        </w:tc>
        <w:tc>
          <w:tcPr>
            <w:tcW w:w="1663" w:type="dxa"/>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w w:val="99"/>
                <w:sz w:val="21"/>
                <w:lang w:val="en-US" w:eastAsia="zh-CN"/>
              </w:rPr>
            </w:pPr>
            <w:r>
              <w:rPr>
                <w:rFonts w:hint="eastAsia" w:eastAsia="宋体"/>
                <w:w w:val="99"/>
                <w:sz w:val="21"/>
                <w:lang w:val="en-US" w:eastAsia="zh-CN"/>
              </w:rPr>
              <w:t>9</w:t>
            </w:r>
          </w:p>
        </w:tc>
        <w:tc>
          <w:tcPr>
            <w:tcW w:w="2822" w:type="dxa"/>
            <w:vMerge w:val="restart"/>
            <w:vAlign w:val="center"/>
          </w:tcPr>
          <w:p>
            <w:pPr>
              <w:pStyle w:val="15"/>
              <w:spacing w:before="165" w:line="244"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对公路建成后的通行情况的感觉</w:t>
            </w:r>
          </w:p>
        </w:tc>
        <w:tc>
          <w:tcPr>
            <w:tcW w:w="1744" w:type="dxa"/>
            <w:vAlign w:val="center"/>
          </w:tcPr>
          <w:p>
            <w:pPr>
              <w:pStyle w:val="15"/>
              <w:spacing w:before="7" w:line="258" w:lineRule="exact"/>
              <w:ind w:left="373"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满意</w:t>
            </w:r>
          </w:p>
        </w:tc>
        <w:tc>
          <w:tcPr>
            <w:tcW w:w="2125" w:type="dxa"/>
            <w:vAlign w:val="center"/>
          </w:tcPr>
          <w:p>
            <w:pPr>
              <w:pStyle w:val="15"/>
              <w:spacing w:before="21"/>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22</w:t>
            </w:r>
          </w:p>
        </w:tc>
        <w:tc>
          <w:tcPr>
            <w:tcW w:w="1663" w:type="dxa"/>
            <w:vAlign w:val="center"/>
          </w:tcPr>
          <w:p>
            <w:pPr>
              <w:pStyle w:val="15"/>
              <w:spacing w:before="21"/>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8" w:lineRule="exact"/>
              <w:ind w:left="430"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基本满意</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3</w:t>
            </w:r>
          </w:p>
        </w:tc>
        <w:tc>
          <w:tcPr>
            <w:tcW w:w="0" w:type="auto"/>
            <w:vAlign w:val="center"/>
          </w:tcPr>
          <w:p>
            <w:pPr>
              <w:pStyle w:val="15"/>
              <w:spacing w:before="21"/>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7"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不满意</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w w:val="99"/>
                <w:sz w:val="21"/>
                <w:lang w:val="en-US" w:eastAsia="zh-CN"/>
              </w:rPr>
            </w:pPr>
            <w:r>
              <w:rPr>
                <w:rFonts w:hint="eastAsia" w:eastAsia="宋体"/>
                <w:w w:val="99"/>
                <w:sz w:val="21"/>
                <w:lang w:val="en-US" w:eastAsia="zh-CN"/>
              </w:rPr>
              <w:t>10</w:t>
            </w:r>
          </w:p>
        </w:tc>
        <w:tc>
          <w:tcPr>
            <w:tcW w:w="2822" w:type="dxa"/>
            <w:vMerge w:val="restart"/>
            <w:vAlign w:val="center"/>
          </w:tcPr>
          <w:p>
            <w:pPr>
              <w:pStyle w:val="15"/>
              <w:spacing w:before="29" w:line="242"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运输危险品时，公路管理部门和其它部门是否对您有限制或要求</w:t>
            </w:r>
          </w:p>
        </w:tc>
        <w:tc>
          <w:tcPr>
            <w:tcW w:w="0" w:type="auto"/>
            <w:vAlign w:val="center"/>
          </w:tcPr>
          <w:p>
            <w:pPr>
              <w:pStyle w:val="15"/>
              <w:spacing w:before="8" w:line="257" w:lineRule="exact"/>
              <w:ind w:left="5" w:leftChars="0"/>
              <w:jc w:val="center"/>
              <w:rPr>
                <w:rFonts w:hint="eastAsia" w:ascii="宋体" w:hAnsi="Times New Roman" w:eastAsia="宋体" w:cs="Times New Roman"/>
                <w:kern w:val="2"/>
                <w:sz w:val="21"/>
                <w:szCs w:val="24"/>
                <w:lang w:val="zh-CN" w:eastAsia="zh-CN" w:bidi="zh-CN"/>
              </w:rPr>
            </w:pPr>
            <w:r>
              <w:rPr>
                <w:rFonts w:hint="eastAsia" w:ascii="宋体" w:eastAsia="宋体"/>
                <w:w w:val="99"/>
                <w:sz w:val="21"/>
              </w:rPr>
              <w:t>有</w:t>
            </w:r>
          </w:p>
        </w:tc>
        <w:tc>
          <w:tcPr>
            <w:tcW w:w="0" w:type="auto"/>
            <w:vAlign w:val="center"/>
          </w:tcPr>
          <w:p>
            <w:pPr>
              <w:pStyle w:val="15"/>
              <w:spacing w:before="21"/>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1"/>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8" w:line="257"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没有</w:t>
            </w:r>
          </w:p>
        </w:tc>
        <w:tc>
          <w:tcPr>
            <w:tcW w:w="0" w:type="auto"/>
            <w:vAlign w:val="center"/>
          </w:tcPr>
          <w:p>
            <w:pPr>
              <w:pStyle w:val="15"/>
              <w:spacing w:before="22"/>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2"/>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8" w:line="257"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不知道</w:t>
            </w:r>
          </w:p>
        </w:tc>
        <w:tc>
          <w:tcPr>
            <w:tcW w:w="0" w:type="auto"/>
            <w:vAlign w:val="center"/>
          </w:tcPr>
          <w:p>
            <w:pPr>
              <w:pStyle w:val="15"/>
              <w:spacing w:before="22"/>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25</w:t>
            </w:r>
          </w:p>
        </w:tc>
        <w:tc>
          <w:tcPr>
            <w:tcW w:w="0" w:type="auto"/>
            <w:vAlign w:val="center"/>
          </w:tcPr>
          <w:p>
            <w:pPr>
              <w:pStyle w:val="15"/>
              <w:spacing w:before="22"/>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w w:val="99"/>
                <w:sz w:val="21"/>
                <w:lang w:val="en-US" w:eastAsia="zh-CN"/>
              </w:rPr>
            </w:pPr>
            <w:r>
              <w:rPr>
                <w:rFonts w:hint="eastAsia" w:eastAsia="宋体"/>
                <w:w w:val="99"/>
                <w:sz w:val="21"/>
                <w:lang w:val="en-US" w:eastAsia="zh-CN"/>
              </w:rPr>
              <w:t>11</w:t>
            </w:r>
          </w:p>
        </w:tc>
        <w:tc>
          <w:tcPr>
            <w:tcW w:w="2822" w:type="dxa"/>
            <w:vMerge w:val="restart"/>
            <w:vAlign w:val="center"/>
          </w:tcPr>
          <w:p>
            <w:pPr>
              <w:pStyle w:val="15"/>
              <w:spacing w:before="166" w:line="242"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对公路工程基本设施满意度如何</w:t>
            </w:r>
          </w:p>
        </w:tc>
        <w:tc>
          <w:tcPr>
            <w:tcW w:w="0" w:type="auto"/>
            <w:vAlign w:val="center"/>
          </w:tcPr>
          <w:p>
            <w:pPr>
              <w:pStyle w:val="15"/>
              <w:spacing w:before="6" w:line="259"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满意</w:t>
            </w:r>
          </w:p>
        </w:tc>
        <w:tc>
          <w:tcPr>
            <w:tcW w:w="0" w:type="auto"/>
            <w:vAlign w:val="center"/>
          </w:tcPr>
          <w:p>
            <w:pPr>
              <w:pStyle w:val="15"/>
              <w:spacing w:before="20"/>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16</w:t>
            </w:r>
          </w:p>
        </w:tc>
        <w:tc>
          <w:tcPr>
            <w:tcW w:w="0" w:type="auto"/>
            <w:vAlign w:val="center"/>
          </w:tcPr>
          <w:p>
            <w:pPr>
              <w:pStyle w:val="15"/>
              <w:spacing w:before="20"/>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6" w:line="259" w:lineRule="exact"/>
              <w:ind w:left="430"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基本满意</w:t>
            </w:r>
          </w:p>
        </w:tc>
        <w:tc>
          <w:tcPr>
            <w:tcW w:w="0" w:type="auto"/>
            <w:vAlign w:val="center"/>
          </w:tcPr>
          <w:p>
            <w:pPr>
              <w:pStyle w:val="15"/>
              <w:spacing w:before="20"/>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8</w:t>
            </w:r>
          </w:p>
        </w:tc>
        <w:tc>
          <w:tcPr>
            <w:tcW w:w="0" w:type="auto"/>
            <w:vAlign w:val="center"/>
          </w:tcPr>
          <w:p>
            <w:pPr>
              <w:pStyle w:val="15"/>
              <w:spacing w:before="20"/>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6" w:line="259"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不满意</w:t>
            </w:r>
          </w:p>
        </w:tc>
        <w:tc>
          <w:tcPr>
            <w:tcW w:w="0" w:type="auto"/>
            <w:vAlign w:val="center"/>
          </w:tcPr>
          <w:p>
            <w:pPr>
              <w:pStyle w:val="15"/>
              <w:spacing w:before="20"/>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1</w:t>
            </w:r>
          </w:p>
        </w:tc>
        <w:tc>
          <w:tcPr>
            <w:tcW w:w="0" w:type="auto"/>
            <w:vAlign w:val="center"/>
          </w:tcPr>
          <w:p>
            <w:pPr>
              <w:pStyle w:val="15"/>
              <w:spacing w:before="20"/>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w w:val="99"/>
                <w:sz w:val="21"/>
                <w:lang w:val="en-US" w:eastAsia="zh-CN"/>
              </w:rPr>
            </w:pPr>
            <w:r>
              <w:rPr>
                <w:rFonts w:hint="eastAsia" w:eastAsia="宋体"/>
                <w:w w:val="99"/>
                <w:sz w:val="21"/>
                <w:lang w:val="en-US" w:eastAsia="zh-CN"/>
              </w:rPr>
              <w:t>12</w:t>
            </w:r>
          </w:p>
        </w:tc>
        <w:tc>
          <w:tcPr>
            <w:tcW w:w="2822" w:type="dxa"/>
            <w:vMerge w:val="restart"/>
            <w:vAlign w:val="center"/>
          </w:tcPr>
          <w:p>
            <w:pPr>
              <w:pStyle w:val="15"/>
              <w:spacing w:line="242" w:lineRule="auto"/>
              <w:ind w:left="106" w:leftChars="0" w:right="186"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您对本公路工程环境保护工作的总体评价</w:t>
            </w:r>
          </w:p>
        </w:tc>
        <w:tc>
          <w:tcPr>
            <w:tcW w:w="0" w:type="auto"/>
            <w:vAlign w:val="center"/>
          </w:tcPr>
          <w:p>
            <w:pPr>
              <w:pStyle w:val="15"/>
              <w:spacing w:before="6"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满意</w:t>
            </w:r>
          </w:p>
        </w:tc>
        <w:tc>
          <w:tcPr>
            <w:tcW w:w="0" w:type="auto"/>
            <w:vAlign w:val="center"/>
          </w:tcPr>
          <w:p>
            <w:pPr>
              <w:pStyle w:val="15"/>
              <w:spacing w:before="20"/>
              <w:ind w:left="832" w:leftChars="0" w:right="822"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23</w:t>
            </w:r>
          </w:p>
        </w:tc>
        <w:tc>
          <w:tcPr>
            <w:tcW w:w="0" w:type="auto"/>
            <w:vAlign w:val="center"/>
          </w:tcPr>
          <w:p>
            <w:pPr>
              <w:pStyle w:val="15"/>
              <w:spacing w:before="20"/>
              <w:ind w:left="285" w:leftChars="0" w:right="273" w:righ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6" w:line="258" w:lineRule="exact"/>
              <w:ind w:left="430" w:leftChars="0" w:right="425"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基本满意</w:t>
            </w:r>
          </w:p>
        </w:tc>
        <w:tc>
          <w:tcPr>
            <w:tcW w:w="0" w:type="auto"/>
            <w:vAlign w:val="center"/>
          </w:tcPr>
          <w:p>
            <w:pPr>
              <w:pStyle w:val="15"/>
              <w:spacing w:before="20"/>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2</w:t>
            </w:r>
          </w:p>
        </w:tc>
        <w:tc>
          <w:tcPr>
            <w:tcW w:w="0" w:type="auto"/>
            <w:vAlign w:val="center"/>
          </w:tcPr>
          <w:p>
            <w:pPr>
              <w:pStyle w:val="15"/>
              <w:spacing w:before="20"/>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不满意</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643"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w w:val="99"/>
                <w:sz w:val="21"/>
              </w:rPr>
            </w:pPr>
          </w:p>
        </w:tc>
        <w:tc>
          <w:tcPr>
            <w:tcW w:w="2822"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eastAsia="宋体"/>
                <w:sz w:val="21"/>
              </w:rPr>
            </w:pPr>
          </w:p>
        </w:tc>
        <w:tc>
          <w:tcPr>
            <w:tcW w:w="0" w:type="auto"/>
            <w:vAlign w:val="center"/>
          </w:tcPr>
          <w:p>
            <w:pPr>
              <w:pStyle w:val="15"/>
              <w:spacing w:before="7" w:line="258" w:lineRule="exact"/>
              <w:ind w:left="430" w:leftChars="0" w:right="422" w:rightChars="0"/>
              <w:jc w:val="center"/>
              <w:rPr>
                <w:rFonts w:hint="eastAsia" w:ascii="宋体" w:hAnsi="Times New Roman" w:eastAsia="宋体" w:cs="Times New Roman"/>
                <w:kern w:val="2"/>
                <w:sz w:val="21"/>
                <w:szCs w:val="24"/>
                <w:lang w:val="zh-CN" w:eastAsia="zh-CN" w:bidi="zh-CN"/>
              </w:rPr>
            </w:pPr>
            <w:r>
              <w:rPr>
                <w:rFonts w:hint="eastAsia" w:ascii="宋体" w:eastAsia="宋体"/>
                <w:sz w:val="21"/>
              </w:rPr>
              <w:t>无所谓</w:t>
            </w:r>
          </w:p>
        </w:tc>
        <w:tc>
          <w:tcPr>
            <w:tcW w:w="0" w:type="auto"/>
            <w:vAlign w:val="center"/>
          </w:tcPr>
          <w:p>
            <w:pPr>
              <w:pStyle w:val="15"/>
              <w:spacing w:before="21"/>
              <w:ind w:left="9"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c>
          <w:tcPr>
            <w:tcW w:w="0" w:type="auto"/>
            <w:vAlign w:val="center"/>
          </w:tcPr>
          <w:p>
            <w:pPr>
              <w:pStyle w:val="15"/>
              <w:spacing w:before="21"/>
              <w:ind w:left="6" w:leftChars="0"/>
              <w:jc w:val="center"/>
              <w:rPr>
                <w:rFonts w:hint="default" w:ascii="Times New Roman" w:hAnsi="Times New Roman" w:eastAsia="Times New Roman" w:cs="Times New Roman"/>
                <w:kern w:val="2"/>
                <w:sz w:val="21"/>
                <w:szCs w:val="24"/>
                <w:lang w:val="en-US" w:eastAsia="zh-CN" w:bidi="zh-CN"/>
              </w:rPr>
            </w:pPr>
            <w:r>
              <w:rPr>
                <w:rFonts w:hint="eastAsia" w:cs="Times New Roman"/>
                <w:kern w:val="2"/>
                <w:sz w:val="21"/>
                <w:szCs w:val="24"/>
                <w:lang w:val="en-US" w:eastAsia="zh-CN" w:bidi="zh-CN"/>
              </w:rPr>
              <w:t>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经过对司乘人员调查意见的统计分析可知：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1、100%的司乘人员认为公路的修建有利于本地区的经济发展。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2、100%的司乘人员表示对沿线公路绿化情况满意或基本满意。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5、82%的司乘人员认为公路汽车尾气排放不严重，16%认为一般，仅 2%认为严重。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6、96%的司乘人员认为公路运行车辆堵塞情况不严重，4%认为一般严重。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7、88%的司乘人员认为公路上噪声影响的感觉情况不严重，12%认为一般，2%认为严重。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8、100%的司乘人员认为有限速标志意。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9、16%的司乘人员没有注意到学校或居民区附近是否有禁鸣标志，84%认为有禁鸣标志。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10、84%的司乘人员建议加强沿线绿化减轻噪声影响，4%的建议安装声屏障减轻噪声影响，12%认为应予以搬迁。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11、100%的司乘人员对公路建成后的通行情况表示满意或基本满意。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12、100%的司乘人员表示公路管理部门和其它部门对运输危险品有限制或要求不知道。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13、96%的司乘人员对本工程基本设施表示满意或基本满意，4%认为不满意。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14、100%的司乘人员对本工程环境保护工作的总体评价为满意或基本满意。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default" w:ascii="Times New Roman" w:hAnsi="Times New Roman" w:eastAsia="宋体" w:cs="Times New Roman"/>
          <w:sz w:val="24"/>
          <w:szCs w:val="24"/>
          <w:lang w:val="en-US" w:eastAsia="zh-CN"/>
        </w:rPr>
      </w:pPr>
      <w:bookmarkStart w:id="75" w:name="_Toc31662"/>
      <w:r>
        <w:rPr>
          <w:rFonts w:hint="eastAsia" w:ascii="Times New Roman" w:hAnsi="Times New Roman" w:eastAsia="宋体" w:cs="Times New Roman"/>
          <w:sz w:val="24"/>
          <w:szCs w:val="24"/>
          <w:lang w:val="en-US" w:eastAsia="zh-CN"/>
        </w:rPr>
        <w:t>8.2.2道路沿线公众</w:t>
      </w:r>
      <w:bookmarkEnd w:id="7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本次调查询问道路沿线公众人员50人，调查范围涵盖沿线居民点，被调查对象全部为受本工程直接影响的沿线居民。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调查对象组成结构见表8.2.2-1.</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表8.2.2-1司乘人员调查对象组成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blHeader/>
        </w:trPr>
        <w:tc>
          <w:tcPr>
            <w:tcW w:w="426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组成结构</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人数（人）</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sz w:val="24"/>
                <w:szCs w:val="24"/>
                <w:vertAlign w:val="baseline"/>
                <w:lang w:val="en-US" w:eastAsia="zh-CN"/>
              </w:rPr>
            </w:pPr>
            <w:r>
              <w:rPr>
                <w:rFonts w:hint="default" w:ascii="Times New Roman" w:hAnsi="Times New Roman" w:eastAsia="宋体" w:cs="Times New Roman"/>
                <w:b/>
                <w:bCs/>
                <w:sz w:val="24"/>
                <w:szCs w:val="24"/>
                <w:vertAlign w:val="baseli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性别</w:t>
            </w: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男</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34</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68</w:t>
            </w:r>
            <w:r>
              <w:rPr>
                <w:rFonts w:hint="default" w:ascii="Times New Roman" w:hAnsi="Times New Roman" w:eastAsia="宋体" w:cs="Times New Roman"/>
                <w:sz w:val="24"/>
                <w:szCs w:val="24"/>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3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女</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16</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32</w:t>
            </w:r>
            <w:r>
              <w:rPr>
                <w:rFonts w:hint="default" w:ascii="Times New Roman" w:hAnsi="Times New Roman" w:eastAsia="宋体" w:cs="Times New Roman"/>
                <w:sz w:val="24"/>
                <w:szCs w:val="24"/>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年龄</w:t>
            </w:r>
          </w:p>
        </w:tc>
        <w:tc>
          <w:tcPr>
            <w:tcW w:w="213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 岁以下</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12</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2130"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30-39 岁</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23</w:t>
            </w:r>
          </w:p>
        </w:tc>
        <w:tc>
          <w:tcPr>
            <w:tcW w:w="21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kern w:val="2"/>
                <w:sz w:val="21"/>
                <w:szCs w:val="24"/>
                <w:lang w:val="en-US" w:eastAsia="zh-CN" w:bidi="zh-CN"/>
              </w:rPr>
            </w:pPr>
            <w:r>
              <w:rPr>
                <w:rFonts w:hint="default" w:ascii="Times New Roman" w:hAnsi="Times New Roman" w:eastAsia="宋体" w:cs="Times New Roman"/>
                <w:sz w:val="21"/>
              </w:rPr>
              <w:t>40 岁以上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15</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文化程度</w:t>
            </w: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小学及以下</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13</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中学</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37</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1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p>
        </w:tc>
        <w:tc>
          <w:tcPr>
            <w:tcW w:w="0" w:type="auto"/>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大学及以上</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vertAlign w:val="baseline"/>
                <w:lang w:val="en-US" w:eastAsia="zh-CN"/>
              </w:rPr>
              <w:t>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从上表可以看出，本次沿线居民调查对象多为男性，文化程度为中小学，年多在30~39岁之间。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调查结果统计详见表8.2.2-2。</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表8.2.2-2沿线居民调查统计表</w:t>
      </w:r>
    </w:p>
    <w:tbl>
      <w:tblPr>
        <w:tblStyle w:val="9"/>
        <w:tblW w:w="868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28"/>
        <w:gridCol w:w="84"/>
        <w:gridCol w:w="328"/>
        <w:gridCol w:w="2018"/>
        <w:gridCol w:w="328"/>
        <w:gridCol w:w="1490"/>
        <w:gridCol w:w="328"/>
        <w:gridCol w:w="1560"/>
        <w:gridCol w:w="328"/>
        <w:gridCol w:w="1560"/>
        <w:gridCol w:w="3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684" w:hRule="atLeast"/>
          <w:jc w:val="center"/>
        </w:trPr>
        <w:tc>
          <w:tcPr>
            <w:tcW w:w="412"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w w:val="99"/>
                <w:sz w:val="21"/>
                <w:szCs w:val="21"/>
              </w:rPr>
              <w:t>序</w:t>
            </w:r>
          </w:p>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w w:val="99"/>
                <w:sz w:val="21"/>
                <w:szCs w:val="21"/>
              </w:rPr>
              <w:t>号</w:t>
            </w:r>
          </w:p>
        </w:tc>
        <w:tc>
          <w:tcPr>
            <w:tcW w:w="2346"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调查内容</w:t>
            </w: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态度</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人数</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1</w:t>
            </w:r>
          </w:p>
        </w:tc>
        <w:tc>
          <w:tcPr>
            <w:tcW w:w="2346"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修建该公路是否有利于本地区的经济发展</w:t>
            </w: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有利</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不利</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不知道</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56"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2</w:t>
            </w:r>
          </w:p>
        </w:tc>
        <w:tc>
          <w:tcPr>
            <w:tcW w:w="2346"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施工期对您影响最大的方面是什么</w:t>
            </w: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31</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粉尘</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灌溉泄洪</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其它</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3</w:t>
            </w:r>
          </w:p>
        </w:tc>
        <w:tc>
          <w:tcPr>
            <w:tcW w:w="2346"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居民区附近150m内是否曾设有料场或搅拌站</w:t>
            </w: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没有</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没注意</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4</w:t>
            </w:r>
          </w:p>
        </w:tc>
        <w:tc>
          <w:tcPr>
            <w:tcW w:w="2346"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4"/>
                <w:sz w:val="21"/>
                <w:szCs w:val="21"/>
              </w:rPr>
              <w:t>居民区</w:t>
            </w:r>
            <w:r>
              <w:rPr>
                <w:rFonts w:hint="default" w:ascii="Times New Roman" w:hAnsi="Times New Roman" w:eastAsia="宋体" w:cs="Times New Roman"/>
                <w:sz w:val="21"/>
                <w:szCs w:val="21"/>
              </w:rPr>
              <w:t>22:00</w:t>
            </w:r>
            <w:r>
              <w:rPr>
                <w:rFonts w:hint="default" w:ascii="Times New Roman" w:hAnsi="Times New Roman" w:eastAsia="宋体" w:cs="Times New Roman"/>
                <w:spacing w:val="-13"/>
                <w:sz w:val="21"/>
                <w:szCs w:val="21"/>
              </w:rPr>
              <w:t>至早晨</w:t>
            </w:r>
            <w:r>
              <w:rPr>
                <w:rFonts w:hint="default" w:ascii="Times New Roman" w:hAnsi="Times New Roman" w:eastAsia="宋体" w:cs="Times New Roman"/>
                <w:sz w:val="21"/>
                <w:szCs w:val="21"/>
              </w:rPr>
              <w:t>6:00</w:t>
            </w:r>
            <w:r>
              <w:rPr>
                <w:rFonts w:hint="default" w:ascii="Times New Roman" w:hAnsi="Times New Roman" w:eastAsia="宋体" w:cs="Times New Roman"/>
                <w:spacing w:val="-1"/>
                <w:sz w:val="21"/>
                <w:szCs w:val="21"/>
              </w:rPr>
              <w:t>时段内，是否有使用高噪</w:t>
            </w:r>
            <w:r>
              <w:rPr>
                <w:rFonts w:hint="default" w:ascii="Times New Roman" w:hAnsi="Times New Roman" w:eastAsia="宋体" w:cs="Times New Roman"/>
                <w:sz w:val="21"/>
                <w:szCs w:val="21"/>
              </w:rPr>
              <w:t>声机械施工现象</w:t>
            </w: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常有</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偶尔有</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没有</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39</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5</w:t>
            </w:r>
          </w:p>
        </w:tc>
        <w:tc>
          <w:tcPr>
            <w:tcW w:w="2346"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公路临时占地是否采取了复垦、恢复等措施</w:t>
            </w: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43</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6</w:t>
            </w:r>
          </w:p>
        </w:tc>
        <w:tc>
          <w:tcPr>
            <w:tcW w:w="2346"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占压农业水利设施时，是否采取了临时应急措施</w:t>
            </w: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35</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56"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7</w:t>
            </w:r>
          </w:p>
        </w:tc>
        <w:tc>
          <w:tcPr>
            <w:tcW w:w="2346"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取土场、弃土场是否采取了临时应急措施</w:t>
            </w: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41</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否</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47" w:hRule="atLeast"/>
          <w:jc w:val="center"/>
        </w:trPr>
        <w:tc>
          <w:tcPr>
            <w:tcW w:w="412" w:type="dxa"/>
            <w:gridSpan w:val="2"/>
            <w:vMerge w:val="restart"/>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8</w:t>
            </w:r>
          </w:p>
        </w:tc>
        <w:tc>
          <w:tcPr>
            <w:tcW w:w="2346" w:type="dxa"/>
            <w:gridSpan w:val="2"/>
            <w:vMerge w:val="restart"/>
            <w:vAlign w:val="center"/>
          </w:tcPr>
          <w:p>
            <w:pPr>
              <w:pStyle w:val="15"/>
              <w:spacing w:before="1"/>
              <w:ind w:left="10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公路建成后对你影响较大的是</w:t>
            </w:r>
          </w:p>
        </w:tc>
        <w:tc>
          <w:tcPr>
            <w:tcW w:w="181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16</w:t>
            </w:r>
          </w:p>
        </w:tc>
        <w:tc>
          <w:tcPr>
            <w:tcW w:w="1888" w:type="dxa"/>
            <w:gridSpan w:val="2"/>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69" w:hRule="atLeast"/>
          <w:jc w:val="center"/>
        </w:trPr>
        <w:tc>
          <w:tcPr>
            <w:tcW w:w="412" w:type="dxa"/>
            <w:gridSpan w:val="2"/>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w w:val="99"/>
                <w:sz w:val="21"/>
                <w:szCs w:val="21"/>
              </w:rPr>
            </w:pPr>
          </w:p>
        </w:tc>
        <w:tc>
          <w:tcPr>
            <w:tcW w:w="2346" w:type="dxa"/>
            <w:gridSpan w:val="2"/>
            <w:vMerge w:val="continue"/>
            <w:vAlign w:val="center"/>
          </w:tcPr>
          <w:p>
            <w:pPr>
              <w:pStyle w:val="15"/>
              <w:spacing w:before="1"/>
              <w:ind w:left="107"/>
              <w:jc w:val="center"/>
              <w:rPr>
                <w:rFonts w:hint="default" w:ascii="Times New Roman" w:hAnsi="Times New Roman" w:eastAsia="宋体" w:cs="Times New Roman"/>
                <w:sz w:val="21"/>
                <w:szCs w:val="21"/>
              </w:rPr>
            </w:pPr>
          </w:p>
        </w:tc>
        <w:tc>
          <w:tcPr>
            <w:tcW w:w="1818" w:type="dxa"/>
            <w:gridSpan w:val="2"/>
            <w:vAlign w:val="center"/>
          </w:tcPr>
          <w:p>
            <w:pPr>
              <w:pStyle w:val="15"/>
              <w:spacing w:before="6" w:line="259" w:lineRule="exact"/>
              <w:ind w:left="119" w:leftChars="0" w:right="115" w:rightChars="0"/>
              <w:jc w:val="center"/>
              <w:rPr>
                <w:rFonts w:hint="default" w:ascii="Times New Roman" w:hAnsi="Times New Roman" w:eastAsia="宋体" w:cs="Times New Roman"/>
                <w:kern w:val="2"/>
                <w:sz w:val="21"/>
                <w:szCs w:val="21"/>
                <w:lang w:val="zh-CN" w:eastAsia="zh-CN" w:bidi="zh-CN"/>
              </w:rPr>
            </w:pPr>
            <w:r>
              <w:rPr>
                <w:rFonts w:hint="default" w:ascii="Times New Roman" w:hAnsi="Times New Roman" w:eastAsia="宋体" w:cs="Times New Roman"/>
                <w:sz w:val="21"/>
                <w:szCs w:val="21"/>
              </w:rPr>
              <w:t>汽车尾气</w:t>
            </w:r>
          </w:p>
        </w:tc>
        <w:tc>
          <w:tcPr>
            <w:tcW w:w="1888" w:type="dxa"/>
            <w:gridSpan w:val="2"/>
            <w:vAlign w:val="center"/>
          </w:tcPr>
          <w:p>
            <w:pPr>
              <w:pStyle w:val="15"/>
              <w:spacing w:before="20"/>
              <w:ind w:left="194" w:leftChars="0" w:right="185" w:rightChars="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2</w:t>
            </w:r>
          </w:p>
        </w:tc>
        <w:tc>
          <w:tcPr>
            <w:tcW w:w="1888" w:type="dxa"/>
            <w:gridSpan w:val="2"/>
            <w:vAlign w:val="center"/>
          </w:tcPr>
          <w:p>
            <w:pPr>
              <w:pStyle w:val="15"/>
              <w:spacing w:before="20"/>
              <w:ind w:left="193" w:leftChars="0" w:right="185" w:rightChars="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15" w:hRule="atLeast"/>
          <w:jc w:val="center"/>
        </w:trPr>
        <w:tc>
          <w:tcPr>
            <w:tcW w:w="412" w:type="dxa"/>
            <w:gridSpan w:val="2"/>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w w:val="99"/>
                <w:sz w:val="21"/>
                <w:szCs w:val="21"/>
              </w:rPr>
            </w:pPr>
          </w:p>
        </w:tc>
        <w:tc>
          <w:tcPr>
            <w:tcW w:w="2346" w:type="dxa"/>
            <w:gridSpan w:val="2"/>
            <w:vMerge w:val="continue"/>
            <w:vAlign w:val="center"/>
          </w:tcPr>
          <w:p>
            <w:pPr>
              <w:pStyle w:val="15"/>
              <w:spacing w:before="1"/>
              <w:ind w:left="107"/>
              <w:jc w:val="center"/>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kern w:val="2"/>
                <w:sz w:val="21"/>
                <w:szCs w:val="21"/>
                <w:lang w:val="zh-CN" w:eastAsia="zh-CN" w:bidi="zh-CN"/>
              </w:rPr>
            </w:pPr>
            <w:r>
              <w:rPr>
                <w:rFonts w:hint="default" w:ascii="Times New Roman" w:hAnsi="Times New Roman" w:eastAsia="宋体" w:cs="Times New Roman"/>
                <w:sz w:val="21"/>
                <w:szCs w:val="21"/>
              </w:rPr>
              <w:t>灰尘</w:t>
            </w:r>
          </w:p>
        </w:tc>
        <w:tc>
          <w:tcPr>
            <w:tcW w:w="1888" w:type="dxa"/>
            <w:gridSpan w:val="2"/>
            <w:vAlign w:val="center"/>
          </w:tcPr>
          <w:p>
            <w:pPr>
              <w:pStyle w:val="15"/>
              <w:spacing w:before="13" w:line="239" w:lineRule="exact"/>
              <w:ind w:left="194" w:leftChars="0" w:right="185" w:rightChars="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20</w:t>
            </w:r>
          </w:p>
        </w:tc>
        <w:tc>
          <w:tcPr>
            <w:tcW w:w="1888" w:type="dxa"/>
            <w:gridSpan w:val="2"/>
            <w:vAlign w:val="center"/>
          </w:tcPr>
          <w:p>
            <w:pPr>
              <w:pStyle w:val="15"/>
              <w:spacing w:before="13" w:line="239" w:lineRule="exact"/>
              <w:ind w:left="193" w:leftChars="0" w:right="185" w:rightChars="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328" w:type="dxa"/>
          <w:trHeight w:val="315" w:hRule="atLeast"/>
          <w:jc w:val="center"/>
        </w:trPr>
        <w:tc>
          <w:tcPr>
            <w:tcW w:w="412" w:type="dxa"/>
            <w:gridSpan w:val="2"/>
            <w:vMerge w:val="continue"/>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w w:val="99"/>
                <w:sz w:val="21"/>
                <w:szCs w:val="21"/>
              </w:rPr>
            </w:pPr>
          </w:p>
        </w:tc>
        <w:tc>
          <w:tcPr>
            <w:tcW w:w="2346" w:type="dxa"/>
            <w:gridSpan w:val="2"/>
            <w:vMerge w:val="continue"/>
            <w:vAlign w:val="center"/>
          </w:tcPr>
          <w:p>
            <w:pPr>
              <w:pStyle w:val="15"/>
              <w:spacing w:before="1"/>
              <w:ind w:left="107"/>
              <w:jc w:val="center"/>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leftChars="0" w:right="113" w:rightChars="0"/>
              <w:jc w:val="center"/>
              <w:rPr>
                <w:rFonts w:hint="default" w:ascii="Times New Roman" w:hAnsi="Times New Roman" w:eastAsia="宋体" w:cs="Times New Roman"/>
                <w:kern w:val="2"/>
                <w:sz w:val="21"/>
                <w:szCs w:val="21"/>
                <w:lang w:val="zh-CN" w:eastAsia="zh-CN" w:bidi="zh-CN"/>
              </w:rPr>
            </w:pPr>
            <w:r>
              <w:rPr>
                <w:rFonts w:hint="default" w:ascii="Times New Roman" w:hAnsi="Times New Roman" w:eastAsia="宋体" w:cs="Times New Roman"/>
                <w:sz w:val="21"/>
                <w:szCs w:val="21"/>
              </w:rPr>
              <w:t>其它</w:t>
            </w:r>
          </w:p>
        </w:tc>
        <w:tc>
          <w:tcPr>
            <w:tcW w:w="1888" w:type="dxa"/>
            <w:gridSpan w:val="2"/>
            <w:vAlign w:val="center"/>
          </w:tcPr>
          <w:p>
            <w:pPr>
              <w:pStyle w:val="15"/>
              <w:spacing w:before="14" w:line="238" w:lineRule="exact"/>
              <w:ind w:left="194" w:leftChars="0" w:right="185" w:rightChars="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2</w:t>
            </w:r>
          </w:p>
        </w:tc>
        <w:tc>
          <w:tcPr>
            <w:tcW w:w="1888" w:type="dxa"/>
            <w:gridSpan w:val="2"/>
            <w:vAlign w:val="center"/>
          </w:tcPr>
          <w:p>
            <w:pPr>
              <w:pStyle w:val="15"/>
              <w:spacing w:before="14" w:line="238" w:lineRule="exact"/>
              <w:ind w:left="193" w:leftChars="0" w:right="185" w:rightChars="0"/>
              <w:jc w:val="center"/>
              <w:rPr>
                <w:rFonts w:hint="default" w:ascii="Times New Roman" w:hAnsi="Times New Roman" w:eastAsia="宋体" w:cs="Times New Roman"/>
                <w:kern w:val="2"/>
                <w:sz w:val="21"/>
                <w:szCs w:val="21"/>
                <w:lang w:val="en-US" w:eastAsia="zh-CN" w:bidi="zh-CN"/>
              </w:rPr>
            </w:pPr>
            <w:r>
              <w:rPr>
                <w:rFonts w:hint="eastAsia" w:ascii="Times New Roman" w:hAnsi="Times New Roman" w:eastAsia="宋体" w:cs="Times New Roman"/>
                <w:kern w:val="2"/>
                <w:sz w:val="21"/>
                <w:szCs w:val="21"/>
                <w:lang w:val="en-US" w:eastAsia="zh-CN" w:bidi="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4" w:hRule="atLeast"/>
          <w:jc w:val="center"/>
        </w:trPr>
        <w:tc>
          <w:tcPr>
            <w:tcW w:w="412" w:type="dxa"/>
            <w:gridSpan w:val="2"/>
            <w:vMerge w:val="restart"/>
            <w:vAlign w:val="center"/>
          </w:tcPr>
          <w:p>
            <w:pPr>
              <w:pStyle w:val="15"/>
              <w:ind w:left="8"/>
              <w:jc w:val="center"/>
              <w:rPr>
                <w:rFonts w:hint="default" w:ascii="Times New Roman" w:hAnsi="Times New Roman" w:eastAsia="宋体" w:cs="Times New Roman"/>
                <w:sz w:val="21"/>
                <w:szCs w:val="21"/>
              </w:rPr>
            </w:pPr>
            <w:r>
              <w:rPr>
                <w:rFonts w:hint="default" w:ascii="Times New Roman" w:hAnsi="Times New Roman" w:eastAsia="宋体" w:cs="Times New Roman"/>
                <w:w w:val="99"/>
                <w:sz w:val="21"/>
                <w:szCs w:val="21"/>
              </w:rPr>
              <w:t>9</w:t>
            </w:r>
          </w:p>
        </w:tc>
        <w:tc>
          <w:tcPr>
            <w:tcW w:w="2346" w:type="dxa"/>
            <w:gridSpan w:val="2"/>
            <w:vMerge w:val="restart"/>
            <w:vAlign w:val="center"/>
          </w:tcPr>
          <w:p>
            <w:pPr>
              <w:pStyle w:val="15"/>
              <w:spacing w:before="147" w:line="242" w:lineRule="auto"/>
              <w:ind w:left="107" w:right="10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公路建成后的通行是否满意</w:t>
            </w:r>
          </w:p>
        </w:tc>
        <w:tc>
          <w:tcPr>
            <w:tcW w:w="1818" w:type="dxa"/>
            <w:gridSpan w:val="2"/>
            <w:vAlign w:val="center"/>
          </w:tcPr>
          <w:p>
            <w:pPr>
              <w:pStyle w:val="15"/>
              <w:spacing w:before="1"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满意</w:t>
            </w:r>
          </w:p>
        </w:tc>
        <w:tc>
          <w:tcPr>
            <w:tcW w:w="1888" w:type="dxa"/>
            <w:gridSpan w:val="2"/>
            <w:vAlign w:val="center"/>
          </w:tcPr>
          <w:p>
            <w:pPr>
              <w:pStyle w:val="15"/>
              <w:spacing w:before="15" w:line="238" w:lineRule="exact"/>
              <w:ind w:left="194"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45</w:t>
            </w:r>
          </w:p>
        </w:tc>
        <w:tc>
          <w:tcPr>
            <w:tcW w:w="1888" w:type="dxa"/>
            <w:gridSpan w:val="2"/>
            <w:vAlign w:val="center"/>
          </w:tcPr>
          <w:p>
            <w:pPr>
              <w:pStyle w:val="15"/>
              <w:spacing w:before="15" w:line="238" w:lineRule="exact"/>
              <w:ind w:left="193"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4" w:hRule="atLeast"/>
          <w:jc w:val="center"/>
        </w:trPr>
        <w:tc>
          <w:tcPr>
            <w:tcW w:w="412"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right="11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基本满意</w:t>
            </w:r>
          </w:p>
        </w:tc>
        <w:tc>
          <w:tcPr>
            <w:tcW w:w="1888" w:type="dxa"/>
            <w:gridSpan w:val="2"/>
            <w:vAlign w:val="center"/>
          </w:tcPr>
          <w:p>
            <w:pPr>
              <w:pStyle w:val="15"/>
              <w:spacing w:before="13" w:line="239" w:lineRule="exact"/>
              <w:ind w:left="194" w:right="185"/>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w:t>
            </w:r>
          </w:p>
        </w:tc>
        <w:tc>
          <w:tcPr>
            <w:tcW w:w="1888" w:type="dxa"/>
            <w:gridSpan w:val="2"/>
            <w:vAlign w:val="center"/>
          </w:tcPr>
          <w:p>
            <w:pPr>
              <w:pStyle w:val="15"/>
              <w:spacing w:before="13" w:line="239" w:lineRule="exact"/>
              <w:ind w:left="193"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47" w:hRule="atLeast"/>
          <w:jc w:val="center"/>
        </w:trPr>
        <w:tc>
          <w:tcPr>
            <w:tcW w:w="412"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不满意</w:t>
            </w:r>
          </w:p>
        </w:tc>
        <w:tc>
          <w:tcPr>
            <w:tcW w:w="1888" w:type="dxa"/>
            <w:gridSpan w:val="2"/>
            <w:vAlign w:val="center"/>
          </w:tcPr>
          <w:p>
            <w:pPr>
              <w:pStyle w:val="15"/>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c>
          <w:tcPr>
            <w:tcW w:w="1888" w:type="dxa"/>
            <w:gridSpan w:val="2"/>
            <w:vAlign w:val="center"/>
          </w:tcPr>
          <w:p>
            <w:pPr>
              <w:pStyle w:val="15"/>
              <w:spacing w:before="14" w:line="238" w:lineRule="exact"/>
              <w:ind w:left="8"/>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4" w:hRule="atLeast"/>
          <w:jc w:val="center"/>
        </w:trPr>
        <w:tc>
          <w:tcPr>
            <w:tcW w:w="412" w:type="dxa"/>
            <w:gridSpan w:val="2"/>
            <w:vMerge w:val="restart"/>
            <w:vAlign w:val="center"/>
          </w:tcPr>
          <w:p>
            <w:pPr>
              <w:pStyle w:val="15"/>
              <w:ind w:left="116"/>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2346" w:type="dxa"/>
            <w:gridSpan w:val="2"/>
            <w:vMerge w:val="restart"/>
            <w:vAlign w:val="center"/>
          </w:tcPr>
          <w:p>
            <w:pPr>
              <w:pStyle w:val="15"/>
              <w:spacing w:before="148" w:line="242" w:lineRule="auto"/>
              <w:ind w:left="107" w:right="10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附近通道内是否有积水现象</w:t>
            </w:r>
          </w:p>
        </w:tc>
        <w:tc>
          <w:tcPr>
            <w:tcW w:w="1818" w:type="dxa"/>
            <w:gridSpan w:val="2"/>
            <w:vAlign w:val="center"/>
          </w:tcPr>
          <w:p>
            <w:pPr>
              <w:pStyle w:val="15"/>
              <w:spacing w:before="1"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经常有</w:t>
            </w:r>
          </w:p>
        </w:tc>
        <w:tc>
          <w:tcPr>
            <w:tcW w:w="1888" w:type="dxa"/>
            <w:gridSpan w:val="2"/>
            <w:vAlign w:val="center"/>
          </w:tcPr>
          <w:p>
            <w:pPr>
              <w:pStyle w:val="15"/>
              <w:spacing w:before="15" w:line="237" w:lineRule="exact"/>
              <w:ind w:left="8"/>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c>
          <w:tcPr>
            <w:tcW w:w="1888" w:type="dxa"/>
            <w:gridSpan w:val="2"/>
            <w:vAlign w:val="center"/>
          </w:tcPr>
          <w:p>
            <w:pPr>
              <w:pStyle w:val="15"/>
              <w:spacing w:before="15" w:line="237" w:lineRule="exact"/>
              <w:ind w:left="193" w:right="185"/>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4" w:hRule="atLeast"/>
          <w:jc w:val="center"/>
        </w:trPr>
        <w:tc>
          <w:tcPr>
            <w:tcW w:w="412"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偶尔有</w:t>
            </w:r>
          </w:p>
        </w:tc>
        <w:tc>
          <w:tcPr>
            <w:tcW w:w="1888" w:type="dxa"/>
            <w:gridSpan w:val="2"/>
            <w:vAlign w:val="center"/>
          </w:tcPr>
          <w:p>
            <w:pPr>
              <w:pStyle w:val="15"/>
              <w:spacing w:before="13" w:line="239" w:lineRule="exact"/>
              <w:ind w:left="194"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21</w:t>
            </w:r>
          </w:p>
        </w:tc>
        <w:tc>
          <w:tcPr>
            <w:tcW w:w="1888" w:type="dxa"/>
            <w:gridSpan w:val="2"/>
            <w:vAlign w:val="center"/>
          </w:tcPr>
          <w:p>
            <w:pPr>
              <w:pStyle w:val="15"/>
              <w:spacing w:before="13" w:line="239" w:lineRule="exact"/>
              <w:ind w:left="193"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3" w:hRule="atLeast"/>
          <w:jc w:val="center"/>
        </w:trPr>
        <w:tc>
          <w:tcPr>
            <w:tcW w:w="412"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gridSpan w:val="2"/>
            <w:vAlign w:val="center"/>
          </w:tcPr>
          <w:p>
            <w:pPr>
              <w:pStyle w:val="15"/>
              <w:spacing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没有</w:t>
            </w:r>
          </w:p>
        </w:tc>
        <w:tc>
          <w:tcPr>
            <w:tcW w:w="1888" w:type="dxa"/>
            <w:gridSpan w:val="2"/>
            <w:vAlign w:val="center"/>
          </w:tcPr>
          <w:p>
            <w:pPr>
              <w:pStyle w:val="15"/>
              <w:spacing w:before="14" w:line="237" w:lineRule="exact"/>
              <w:ind w:left="194"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27</w:t>
            </w:r>
          </w:p>
        </w:tc>
        <w:tc>
          <w:tcPr>
            <w:tcW w:w="1888" w:type="dxa"/>
            <w:gridSpan w:val="2"/>
            <w:vAlign w:val="center"/>
          </w:tcPr>
          <w:p>
            <w:pPr>
              <w:pStyle w:val="15"/>
              <w:spacing w:before="14" w:line="237" w:lineRule="exact"/>
              <w:ind w:left="193"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5" w:hRule="atLeast"/>
          <w:jc w:val="center"/>
        </w:trPr>
        <w:tc>
          <w:tcPr>
            <w:tcW w:w="412" w:type="dxa"/>
            <w:gridSpan w:val="2"/>
            <w:vMerge w:val="restart"/>
            <w:vAlign w:val="center"/>
          </w:tcPr>
          <w:p>
            <w:pPr>
              <w:pStyle w:val="15"/>
              <w:spacing w:before="156"/>
              <w:ind w:left="12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2346" w:type="dxa"/>
            <w:gridSpan w:val="2"/>
            <w:vMerge w:val="restart"/>
            <w:vAlign w:val="center"/>
          </w:tcPr>
          <w:p>
            <w:pPr>
              <w:pStyle w:val="15"/>
              <w:spacing w:line="244" w:lineRule="auto"/>
              <w:ind w:left="107" w:right="10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建议采取何种措施减轻影响</w:t>
            </w:r>
          </w:p>
        </w:tc>
        <w:tc>
          <w:tcPr>
            <w:tcW w:w="1818" w:type="dxa"/>
            <w:gridSpan w:val="2"/>
            <w:vAlign w:val="center"/>
          </w:tcPr>
          <w:p>
            <w:pPr>
              <w:pStyle w:val="15"/>
              <w:spacing w:before="2"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绿化</w:t>
            </w:r>
          </w:p>
        </w:tc>
        <w:tc>
          <w:tcPr>
            <w:tcW w:w="1888" w:type="dxa"/>
            <w:gridSpan w:val="2"/>
            <w:vAlign w:val="center"/>
          </w:tcPr>
          <w:p>
            <w:pPr>
              <w:pStyle w:val="15"/>
              <w:spacing w:before="15" w:line="237" w:lineRule="exact"/>
              <w:ind w:left="194"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24</w:t>
            </w:r>
          </w:p>
        </w:tc>
        <w:tc>
          <w:tcPr>
            <w:tcW w:w="1888" w:type="dxa"/>
            <w:gridSpan w:val="2"/>
            <w:vAlign w:val="center"/>
          </w:tcPr>
          <w:p>
            <w:pPr>
              <w:pStyle w:val="15"/>
              <w:spacing w:before="15" w:line="237" w:lineRule="exact"/>
              <w:ind w:left="193"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3" w:hRule="atLeast"/>
          <w:jc w:val="center"/>
        </w:trPr>
        <w:tc>
          <w:tcPr>
            <w:tcW w:w="412"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gridSpan w:val="2"/>
            <w:vAlign w:val="center"/>
          </w:tcPr>
          <w:p>
            <w:pPr>
              <w:pStyle w:val="15"/>
              <w:spacing w:line="252"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声屏障</w:t>
            </w:r>
          </w:p>
        </w:tc>
        <w:tc>
          <w:tcPr>
            <w:tcW w:w="1888" w:type="dxa"/>
            <w:gridSpan w:val="2"/>
            <w:vAlign w:val="center"/>
          </w:tcPr>
          <w:p>
            <w:pPr>
              <w:pStyle w:val="15"/>
              <w:spacing w:before="13" w:line="238" w:lineRule="exact"/>
              <w:ind w:left="194"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w:t>
            </w:r>
          </w:p>
        </w:tc>
        <w:tc>
          <w:tcPr>
            <w:tcW w:w="1888" w:type="dxa"/>
            <w:gridSpan w:val="2"/>
            <w:vAlign w:val="center"/>
          </w:tcPr>
          <w:p>
            <w:pPr>
              <w:pStyle w:val="15"/>
              <w:spacing w:before="13" w:line="238" w:lineRule="exact"/>
              <w:ind w:left="193"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04" w:hRule="atLeast"/>
          <w:jc w:val="center"/>
        </w:trPr>
        <w:tc>
          <w:tcPr>
            <w:tcW w:w="412"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gridSpan w:val="2"/>
            <w:vAlign w:val="center"/>
          </w:tcPr>
          <w:p>
            <w:pPr>
              <w:pStyle w:val="15"/>
              <w:spacing w:before="1"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限速</w:t>
            </w:r>
          </w:p>
        </w:tc>
        <w:tc>
          <w:tcPr>
            <w:tcW w:w="1888" w:type="dxa"/>
            <w:gridSpan w:val="2"/>
            <w:vAlign w:val="center"/>
          </w:tcPr>
          <w:p>
            <w:pPr>
              <w:pStyle w:val="15"/>
              <w:spacing w:before="14" w:line="237" w:lineRule="exact"/>
              <w:ind w:left="194" w:right="185"/>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w:t>
            </w:r>
          </w:p>
        </w:tc>
        <w:tc>
          <w:tcPr>
            <w:tcW w:w="1888" w:type="dxa"/>
            <w:gridSpan w:val="2"/>
            <w:vAlign w:val="center"/>
          </w:tcPr>
          <w:p>
            <w:pPr>
              <w:pStyle w:val="15"/>
              <w:spacing w:before="14" w:line="237" w:lineRule="exact"/>
              <w:ind w:left="193" w:right="185"/>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28" w:type="dxa"/>
          <w:trHeight w:val="315" w:hRule="atLeast"/>
          <w:jc w:val="center"/>
        </w:trPr>
        <w:tc>
          <w:tcPr>
            <w:tcW w:w="412"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2346" w:type="dxa"/>
            <w:gridSpan w:val="2"/>
            <w:vMerge w:val="continue"/>
            <w:tcBorders>
              <w:top w:val="nil"/>
            </w:tcBorders>
            <w:vAlign w:val="center"/>
          </w:tcPr>
          <w:p>
            <w:pPr>
              <w:jc w:val="center"/>
              <w:rPr>
                <w:rFonts w:hint="default" w:ascii="Times New Roman" w:hAnsi="Times New Roman" w:eastAsia="宋体" w:cs="Times New Roman"/>
                <w:sz w:val="21"/>
                <w:szCs w:val="21"/>
              </w:rPr>
            </w:pPr>
          </w:p>
        </w:tc>
        <w:tc>
          <w:tcPr>
            <w:tcW w:w="1818" w:type="dxa"/>
            <w:gridSpan w:val="2"/>
            <w:vAlign w:val="center"/>
          </w:tcPr>
          <w:p>
            <w:pPr>
              <w:pStyle w:val="15"/>
              <w:spacing w:before="2" w:line="251" w:lineRule="exact"/>
              <w:ind w:left="119" w:right="113"/>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其它</w:t>
            </w:r>
          </w:p>
        </w:tc>
        <w:tc>
          <w:tcPr>
            <w:tcW w:w="1888" w:type="dxa"/>
            <w:gridSpan w:val="2"/>
            <w:vAlign w:val="center"/>
          </w:tcPr>
          <w:p>
            <w:pPr>
              <w:pStyle w:val="15"/>
              <w:spacing w:before="16" w:line="237" w:lineRule="exact"/>
              <w:ind w:left="194"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w:t>
            </w:r>
          </w:p>
        </w:tc>
        <w:tc>
          <w:tcPr>
            <w:tcW w:w="1888" w:type="dxa"/>
            <w:gridSpan w:val="2"/>
            <w:vAlign w:val="center"/>
          </w:tcPr>
          <w:p>
            <w:pPr>
              <w:pStyle w:val="15"/>
              <w:spacing w:before="16" w:line="237" w:lineRule="exact"/>
              <w:ind w:left="193" w:right="185"/>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24</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从上表可知：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1、100%的公众表示修建该公路有利于本地区的经济发展。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2、62%的公众表示施工期对自己影响最大的方面是噪声，20%表示是粉尘，18%表示是其它方面。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3、100%的公众表示居民区附近150m内没有料场或搅拌站。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4、22%的公众表示在居民区22:00至早晨6:00时段内，偶尔有使用高噪声机械施工现象，78%表示没有。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5、86%的公众表示公路临时占地采取了复垦、恢复等措施，14%表示未采取恢复措施。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6、70%的公众表示占压农业水利设施时采取了临时应急措施，30%表示没有采取相关措施。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7、82%的公众表示取土场、弃土场采取了利用、恢复措施，18%的公众表示没有。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8、32%的公众表示公路建成后对自己影响较大的是噪声，4%表示是汽车尾气，40%表示是粉尘，4%表示是其它方面。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9、100%的公众对公路建成后的通行表示满意或基本满意。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10、4%的公众表示附近通道内常有积水现象，42%表示偶尔有54%表示没有。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11、48%的公众建议采取绿化措施减轻交通噪声的影响，22%认为安装声屏障有效果，6%认为应安装隔声窗，24%认为应采取其它措施。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2"/>
        <w:rPr>
          <w:rFonts w:hint="default" w:ascii="Times New Roman" w:hAnsi="Times New Roman" w:eastAsia="宋体" w:cs="Times New Roman"/>
          <w:sz w:val="24"/>
          <w:szCs w:val="24"/>
          <w:lang w:val="en-US" w:eastAsia="zh-CN"/>
        </w:rPr>
      </w:pPr>
      <w:bookmarkStart w:id="76" w:name="_Toc20156"/>
      <w:r>
        <w:rPr>
          <w:rFonts w:hint="eastAsia" w:ascii="Times New Roman" w:hAnsi="Times New Roman" w:eastAsia="宋体" w:cs="Times New Roman"/>
          <w:sz w:val="24"/>
          <w:szCs w:val="24"/>
          <w:lang w:val="en-US" w:eastAsia="zh-CN"/>
        </w:rPr>
        <w:t>8.2.3小结与建议</w:t>
      </w:r>
      <w:bookmarkEnd w:id="7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100%的司乘人员对本公路工程环境保护工作的总体评价为满意或基本满意；100%的公众对本公路工程环境保护工作的总体评价为满意或基本满意。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建议建设单位和有关部门重视公众提出的合理意见和建议，结合具体情况进一步采取有效措施，切实解决好与群众生活和切身利益息息相关的问题。</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b/>
          <w:bCs/>
          <w:sz w:val="24"/>
          <w:szCs w:val="24"/>
          <w:lang w:val="en-US" w:eastAsia="zh-CN"/>
        </w:rPr>
      </w:pPr>
      <w:bookmarkStart w:id="77" w:name="_Toc16703"/>
      <w:r>
        <w:rPr>
          <w:rFonts w:hint="eastAsia" w:ascii="Times New Roman" w:hAnsi="Times New Roman" w:eastAsia="宋体" w:cs="Times New Roman"/>
          <w:b/>
          <w:bCs/>
          <w:sz w:val="24"/>
          <w:szCs w:val="24"/>
          <w:lang w:val="en-US" w:eastAsia="zh-CN"/>
        </w:rPr>
        <w:t>9 风险事故防范与应急措施调查</w:t>
      </w:r>
      <w:bookmarkEnd w:id="77"/>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78" w:name="_Toc16863"/>
      <w:r>
        <w:rPr>
          <w:rFonts w:hint="eastAsia" w:ascii="Times New Roman" w:hAnsi="Times New Roman" w:eastAsia="宋体" w:cs="Times New Roman"/>
          <w:sz w:val="24"/>
          <w:szCs w:val="24"/>
          <w:lang w:val="en-US" w:eastAsia="zh-CN"/>
        </w:rPr>
        <w:t>9.1风险因素调查</w:t>
      </w:r>
      <w:bookmarkEnd w:id="7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在危险品运输过程中，如发生危险品燃烧、爆炸、溢漏、逸散，会给事故发生地甚至更广大地区的人民群众生命财产造成直接危害，对周围的水域、大气、生态环境也会造成严重的污染和破坏。</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outlineLvl w:val="1"/>
        <w:rPr>
          <w:rFonts w:hint="default" w:ascii="Times New Roman" w:hAnsi="Times New Roman" w:eastAsia="宋体" w:cs="Times New Roman"/>
          <w:sz w:val="24"/>
          <w:szCs w:val="24"/>
          <w:lang w:val="en-US" w:eastAsia="zh-CN"/>
        </w:rPr>
      </w:pPr>
      <w:bookmarkStart w:id="79" w:name="_Toc9716"/>
      <w:r>
        <w:rPr>
          <w:rFonts w:hint="eastAsia" w:ascii="Times New Roman" w:hAnsi="Times New Roman" w:eastAsia="宋体" w:cs="Times New Roman"/>
          <w:sz w:val="24"/>
          <w:szCs w:val="24"/>
          <w:lang w:val="en-US" w:eastAsia="zh-CN"/>
        </w:rPr>
        <w:t>9.2风险防范与预防措施</w:t>
      </w:r>
      <w:bookmarkEnd w:id="7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本工程自竣工试运营以来，未发生过环境风险事故。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80" w:name="_Toc15494"/>
      <w:r>
        <w:rPr>
          <w:rFonts w:hint="eastAsia" w:ascii="Times New Roman" w:hAnsi="Times New Roman" w:eastAsia="宋体" w:cs="Times New Roman"/>
          <w:sz w:val="24"/>
          <w:szCs w:val="24"/>
          <w:lang w:val="en-US" w:eastAsia="zh-CN"/>
        </w:rPr>
        <w:t>9.2.1主要预防措施</w:t>
      </w:r>
      <w:bookmarkEnd w:id="8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防范危险品运输风险事故的最主要措施是要严格执行国家和行业部门颁布的危险货物运输相关法规。相关法规有∶《危险化学品安全管理条例》、《道路危险货物运输管理规定》、《中华人民共和国民用爆炸物品管理条例》、《中华人民共和国放射性同位素与射线装置放射保护条例》等。结合道路运输实际，具体的措施如下∶</w:t>
      </w:r>
    </w:p>
    <w:p>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加强对从事危险货物运输业主、驾驶员及押运员的安全教育和运输车辆的安全检查，使从业人员具有高度责任感，使车辆处于完好的技术状态。</w:t>
      </w:r>
    </w:p>
    <w:p>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危险品运输车辆在进入道路前，应向当地道路运输管理部门领取申书表，并在入口处接受公安或交通管理部门的抽查，并提交申报表。申报表主要报告项目有危险货物运输执照号码、货物品种、等级和编号、收发货人姓名、装细地点、货物特性等。危险品运输车辆一般应安排在交通量较少时段（如夜间）通行，在气候不好的条件下应禁止其上路，从而加强对运输危险品的车辆进行有效管理</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实行危险品运输车辆的检查制度，在入口处的车道（一般为最外侧车重）设置危险品运输申报点。对申报运输危险品的车辆进行"准运证"、"驾驶员证"、"押运员证"和危险品运输行车路单（以下简称"三证一单"）检查，"三证一单"不全的车辆将不允许驶上道路。除证件检查外，必要时应对运输危险品的车辆进行安全检查。如《压力容器使用证》的有效性及检验合格证等，对有安全隐患的车辆进行安全检查，在未排除隐患前不允许进入道路。</w:t>
      </w:r>
    </w:p>
    <w:p>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制作道路危险货物运输事故汇报联系卡，公布各有关部门联系电话，通过入口处发放给过往车辆。如运输有毒、有害物质的危险品运输车辆在拟建道路，尤其是在跨河桥上发生事故导致水体或气体污染时，应及时利用道路上完善的紧急电话向当地公安交通管理部门或相关路段监控通信所（中心）汇报，并及时与所在市、区（镇）公安、消防和环保部门取得联系，以便采取紧急应救措施。</w:t>
      </w:r>
    </w:p>
    <w:p>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交通、公安、环保部门要相互配合，提高快速反应、处置能力，要改善和提高相应的装备水平。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81" w:name="_Toc4689"/>
      <w:r>
        <w:rPr>
          <w:rFonts w:hint="eastAsia" w:ascii="Times New Roman" w:hAnsi="Times New Roman" w:eastAsia="宋体" w:cs="Times New Roman"/>
          <w:sz w:val="24"/>
          <w:szCs w:val="24"/>
          <w:lang w:val="en-US" w:eastAsia="zh-CN"/>
        </w:rPr>
        <w:t>9.2.2</w:t>
      </w:r>
      <w:r>
        <w:rPr>
          <w:rFonts w:hint="default" w:ascii="Times New Roman" w:hAnsi="Times New Roman" w:eastAsia="宋体" w:cs="Times New Roman"/>
          <w:sz w:val="24"/>
          <w:szCs w:val="24"/>
          <w:lang w:val="en-US" w:eastAsia="zh-CN"/>
        </w:rPr>
        <w:t>主要应急措施</w:t>
      </w:r>
      <w:bookmarkEnd w:id="8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鉴于本工程跨越高山河、麦架河，为保护水质，应对拟建道路高山河、麦架河河段的危险货物运输风险问题予以足够重视。为此，道路沿线各级地方政府将本道路跨河段运输风险的应急救援问题纳入到道路化学危险货物运输事故应急预案。该应急预案包括组织机构、工作职责和制度、应急工作规程和处置原则等。组织机构由该市（或区）交通局和公安局分管领导联合成立道路化学危险品运输事故协调小组，负责组织协调道路危险品运输事故的抢救和处理工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工作职责主要有研究制订本市道路化学危险品运输安全措施和政策，建立辖区内化学危险品运输业户和车辆、人员档案，定期开展对道路化学危险品运输业户的安全检查，并定期召开协调领导小组成员会议，通报道路化学品运输事故情况，定期组织道路化学品运输业户负责人、驾驶员、押运员、装卸人员进行业务培训和开展应急预案的演练，积极开展各种形式的宣传活动，提高市民和从业人员的安全生产意识，做好道路化学危险品运输事故的统计与上报工作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应急工作规程及处置原则有以下几点∶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①事故发生后，发现人员应及时通过路侧紧急电话或其它通讯方式向管理中心或沿线各区道路化学危险品运输事故协调小组报告。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②通信中心或协调小组接到事故报告后，应立即通知就近的公路巡警前往事故地点控制现场。同时，通知就近的地方消防部门派消防车辆和人员前往救援。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③如果危险品为固态，可清扫处置，并对事故记录备案</w:t>
      </w:r>
      <w:r>
        <w:rPr>
          <w:rFonts w:hint="eastAsia"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④如果危险品为气态且有剧毒，消防人员应戴防毒面具进行处理</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在危险品逸漏无法避免的情况下，需立即通知环保部门、公安部门，必要时对沿线处于污染范围内的人员进行疏离，避免发生人员中毒伤亡。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⑤如果危险品为液态，并已进入公共水体，应立即通知环保部门。环保部门接报后立即通知河流下游单位，或附近用水单位停止取用水，同时派环保专家和监测人员到现场进行监测分析，及时打捞掉入水体的危险品容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在拟建道路跨河路段，运输危险货物的车辆如发生泄漏，会对水体产生不良影响。按危险品在水中的状态以及计算扩散模型得到的信息，可选择的水污染控制方法如下∶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①可形成气体或蒸汽的物质，如甲苯。预计受影响的范围，撤离有危险的人员，监控空气和水中的浓度通过大气或水消散或稀释到安全水平。</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②漂浮物质，若为挥发性的，如甲苯，可采用①的方法</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若为非挥发性的在接近和处理安全的条件下，可采用围护、回收、吸收、扩散、燃烧等方法处理。对可烧或有毒的化学品还必须采用限制措施相配合。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③能溶解扩散的物质，如乙二醇等。稀释和扩散是常用方法，并且常通过自然运动和水混合来实现。但对毒性物质，会把毒性危险区域扩大。因此，必须采用限制性措施配合。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在非跨河渠居民聚居路段，各危险货物泄漏及燃烧还会对沿线居民生产和健康带来危害，道路常运危险货物事故处置应急措施参见表</w:t>
      </w:r>
      <w:r>
        <w:rPr>
          <w:rFonts w:hint="eastAsia" w:ascii="Times New Roman" w:hAnsi="Times New Roman" w:eastAsia="宋体" w:cs="Times New Roman"/>
          <w:sz w:val="24"/>
          <w:szCs w:val="24"/>
          <w:lang w:val="en-US" w:eastAsia="zh-CN"/>
        </w:rPr>
        <w:t>9.2.2-1</w:t>
      </w:r>
      <w:r>
        <w:rPr>
          <w:rFonts w:hint="default"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vertAlign w:val="baseline"/>
          <w:lang w:val="en-US" w:eastAsia="zh-CN"/>
        </w:rPr>
      </w:pPr>
      <w:r>
        <w:rPr>
          <w:rFonts w:hint="eastAsia" w:ascii="Times New Roman" w:hAnsi="Times New Roman" w:eastAsia="宋体" w:cs="Times New Roman"/>
          <w:sz w:val="24"/>
          <w:szCs w:val="24"/>
          <w:lang w:val="en-US" w:eastAsia="zh-CN"/>
        </w:rPr>
        <w:t>表9.2.2-1泄漏处置应急措施</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1215"/>
        <w:gridCol w:w="5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13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名称</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处置方式</w:t>
            </w:r>
          </w:p>
        </w:tc>
        <w:tc>
          <w:tcPr>
            <w:tcW w:w="599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具体措施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硫酸</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散离危险区域，处理人员戴自给正压式呼吸器，穿防酸碱工作服∶切断泄漏源，防止进入下水道。可将泄漏液收集在可谜底容器中或用沙土、干燥石灰泄漏处置</w:t>
            </w:r>
            <w:r>
              <w:rPr>
                <w:rFonts w:hint="eastAsia" w:ascii="Times New Roman" w:hAnsi="Times New Roman" w:eastAsia="宋体" w:cs="Times New Roman"/>
                <w:sz w:val="21"/>
                <w:szCs w:val="21"/>
                <w:vertAlign w:val="baseline"/>
                <w:lang w:val="en-US" w:eastAsia="zh-CN"/>
              </w:rPr>
              <w:t>。可加入纯碱一消石灰溶液中和；大量泄漏应构筑围堤或挖坑收容，用泵转移至槽车内，残余物回收运至废物处理场 所安全处置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禁止用水，使用干粉、二氧化碳和沙土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甲苯</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首先应切断所有火源，戴好防毒面具和手套，用不燃性分散剂制成乳液刷洗，泄漏处置 置也可以用沙土吸收，倒至空旷地掩埋。对污染地带进行通风，蒸发残余液体并排除蒸汽。含甲苯的废水可采用生物法、浓缩废水焚烧等方法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灭火∶泡沫、二氧化碳、干粉、沙</w:t>
            </w:r>
            <w:r>
              <w:rPr>
                <w:rFonts w:hint="eastAsia" w:ascii="Times New Roman" w:hAnsi="Times New Roman" w:eastAsia="宋体" w:cs="Times New Roman"/>
                <w:sz w:val="21"/>
                <w:szCs w:val="21"/>
                <w:vertAlign w:val="baseline"/>
                <w:lang w:val="en-US" w:eastAsia="zh-CN"/>
              </w:rPr>
              <w:t>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苯</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迅速撤离泄漏污染区人员至安全区，禁止无关人员进入污染区，切断火源，应急处理人员戴防毒面具与手套，穿一般消防防护服，在确保安全情况下堵漏。可用雾状水扑灭小面积火灾，保持火场旁容器的冷却，驱散蒸气及溢出的液体，但不能降低泄漏物在受限制空间内的易燃性。用活性炭或其它惰性材料或沙土吸收，然后使用无火化工具收集运至废物处理场所。也可以用不燃性分散剂制成的乳液刷洗，经稀释后放入废水系统。或在保证安全情况下，就地焚烧。如大量泄漏，建围堤收容，然后收集、转移、回收或无害化处理</w:t>
            </w:r>
            <w:r>
              <w:rPr>
                <w:rFonts w:hint="eastAsia" w:ascii="Times New Roman" w:hAnsi="Times New Roman" w:eastAsia="宋体"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灭火∶泡沫、二氧化碳、干粉、沙土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冰醋酸</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疏散泄漏污染区人员至安全区，禁止无关人员进入污染区，切断火源。建议应急处理人员戴自给式呼吸器，穿化学防护服。不要直接接触泄漏物，在确保安全情况下堵漏。喷水雾能减少蒸发但不要使水进入储存容器内。用沙土、蛭石或其它惰性材料吸收，然后收集运至废物处理场所处置。也可以用大量水冲洗，经稀释的洗水放入废水系统。如大量泄漏，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雾状水、泡沫、二氧化碳、砂土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乙炔</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首先切断一切火源，勿使其燃烧，同时关闭阀门，防止渗漏，并用雾状水保泄漏处置 护关闭阀门的人员。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有复燃危险，在气源为切断前可扑灭气源周围火势，防止扩大，但不得灭掉源渗漏处火源。用水冷却容器防止爆炸，并用水保护关闭阀门或堵漏的人员。如泄漏物未被点燃，可用雾状水直接射至易燃蒸气和空气的混合物，使其远离火源。如有可能应迅速将钢瓶转移至安全地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甲醇</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首先切断一切火源，带好防毒面具和手套，用水冲洗，经稀释的污水排入水系统。对污染地面进行通风排除残余蒸气，大面积泄漏周围应设雾状水幕抑爆。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穿戴好防护服和防毒面具。小火用二氧化碳、干粉、1211、抗溶性泡沫、雾状水灭火。用雾状水冷却火场中的容器并保护堵漏人员。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氰化钾</w:t>
            </w: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泄露处置</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必须戴好防毒面具和手套，扫起倒至大量水中，加入过量次氯酸钠，放置24小时，确认氢化物全部分解，稀释后放入废水系统。污染区用次氯酸钠溶液浸泡24小时后，用大量水冲洗，经稀释的污水放入废水系统。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121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消防方法</w:t>
            </w:r>
          </w:p>
        </w:tc>
        <w:tc>
          <w:tcPr>
            <w:tcW w:w="5993"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氰化物不燃，大火时应尽量抢救商品，防止因包装破损引起环境污染。消防人员必须穿戴供氧式防毒面具及全身防护服。邻近地区火灾时可用雾状水灭火，禁止使用二氧化碳、酸碱灭火剂。</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default" w:ascii="Times New Roman" w:hAnsi="Times New Roman" w:eastAsia="宋体" w:cs="Times New Roman"/>
          <w:sz w:val="24"/>
          <w:szCs w:val="24"/>
          <w:lang w:val="en-US" w:eastAsia="zh-CN"/>
        </w:rPr>
      </w:pPr>
      <w:bookmarkStart w:id="82" w:name="_Toc24222"/>
      <w:r>
        <w:rPr>
          <w:rFonts w:hint="eastAsia" w:ascii="Times New Roman" w:hAnsi="Times New Roman" w:eastAsia="宋体" w:cs="Times New Roman"/>
          <w:sz w:val="24"/>
          <w:szCs w:val="24"/>
          <w:lang w:val="en-US" w:eastAsia="zh-CN"/>
        </w:rPr>
        <w:t>9.2.3应急预案</w:t>
      </w:r>
      <w:bookmarkEnd w:id="82"/>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表9.2.3-1应急预案</w:t>
      </w:r>
    </w:p>
    <w:tbl>
      <w:tblPr>
        <w:tblStyle w:val="9"/>
        <w:tblW w:w="8418" w:type="dxa"/>
        <w:jc w:val="center"/>
        <w:shd w:val="clear" w:color="auto" w:fill="auto"/>
        <w:tblLayout w:type="fixed"/>
        <w:tblCellMar>
          <w:top w:w="0" w:type="dxa"/>
          <w:left w:w="0" w:type="dxa"/>
          <w:bottom w:w="0" w:type="dxa"/>
          <w:right w:w="0" w:type="dxa"/>
        </w:tblCellMar>
      </w:tblPr>
      <w:tblGrid>
        <w:gridCol w:w="668"/>
        <w:gridCol w:w="1704"/>
        <w:gridCol w:w="6046"/>
      </w:tblGrid>
      <w:tr>
        <w:tblPrEx>
          <w:shd w:val="clear" w:color="auto" w:fill="auto"/>
          <w:tblCellMar>
            <w:top w:w="0" w:type="dxa"/>
            <w:left w:w="0" w:type="dxa"/>
            <w:bottom w:w="0" w:type="dxa"/>
            <w:right w:w="0" w:type="dxa"/>
          </w:tblCellMar>
        </w:tblPrEx>
        <w:trPr>
          <w:trHeight w:val="561" w:hRule="atLeast"/>
          <w:tblHeader/>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bCs/>
                <w:i w:val="0"/>
                <w:color w:val="000000"/>
                <w:sz w:val="21"/>
                <w:szCs w:val="21"/>
                <w:u w:val="none"/>
              </w:rPr>
            </w:pPr>
            <w:r>
              <w:rPr>
                <w:rStyle w:val="21"/>
                <w:rFonts w:hint="eastAsia" w:ascii="宋体" w:hAnsi="宋体" w:eastAsia="宋体" w:cs="宋体"/>
                <w:b/>
                <w:bCs/>
                <w:sz w:val="21"/>
                <w:szCs w:val="21"/>
                <w:lang w:val="en-US" w:eastAsia="zh-CN" w:bidi="ar"/>
              </w:rPr>
              <w:t>序号</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bCs/>
                <w:i w:val="0"/>
                <w:color w:val="000000"/>
                <w:sz w:val="21"/>
                <w:szCs w:val="21"/>
                <w:u w:val="none"/>
              </w:rPr>
            </w:pPr>
            <w:r>
              <w:rPr>
                <w:rStyle w:val="21"/>
                <w:rFonts w:hint="eastAsia" w:ascii="宋体" w:hAnsi="宋体" w:eastAsia="宋体" w:cs="宋体"/>
                <w:b/>
                <w:bCs/>
                <w:sz w:val="21"/>
                <w:szCs w:val="21"/>
                <w:lang w:val="en-US" w:eastAsia="zh-CN" w:bidi="ar"/>
              </w:rPr>
              <w:t>项目</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bCs/>
                <w:i w:val="0"/>
                <w:color w:val="000000"/>
                <w:sz w:val="21"/>
                <w:szCs w:val="21"/>
                <w:u w:val="none"/>
              </w:rPr>
            </w:pPr>
            <w:r>
              <w:rPr>
                <w:rStyle w:val="21"/>
                <w:rFonts w:hint="eastAsia" w:ascii="宋体" w:hAnsi="宋体" w:eastAsia="宋体" w:cs="宋体"/>
                <w:b/>
                <w:bCs/>
                <w:sz w:val="21"/>
                <w:szCs w:val="21"/>
                <w:lang w:val="en-US" w:eastAsia="zh-CN" w:bidi="ar"/>
              </w:rPr>
              <w:t>内容</w:t>
            </w:r>
          </w:p>
        </w:tc>
      </w:tr>
      <w:tr>
        <w:tblPrEx>
          <w:tblCellMar>
            <w:top w:w="0" w:type="dxa"/>
            <w:left w:w="0" w:type="dxa"/>
            <w:bottom w:w="0" w:type="dxa"/>
            <w:right w:w="0" w:type="dxa"/>
          </w:tblCellMar>
        </w:tblPrEx>
        <w:trPr>
          <w:trHeight w:val="506"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1</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eastAsia" w:ascii="Times New Roman" w:hAnsi="Times New Roman" w:eastAsia="宋体" w:cs="Times New Roman"/>
                <w:b w:val="0"/>
                <w:bCs w:val="0"/>
                <w:i w:val="0"/>
                <w:color w:val="000000"/>
                <w:kern w:val="0"/>
                <w:sz w:val="21"/>
                <w:szCs w:val="21"/>
                <w:u w:val="none"/>
                <w:lang w:val="en-US" w:eastAsia="zh-CN" w:bidi="ar"/>
              </w:rPr>
              <w:t>应急计划区</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道</w:t>
            </w:r>
            <w:r>
              <w:rPr>
                <w:rFonts w:hint="default" w:ascii="Times New Roman" w:hAnsi="Times New Roman" w:eastAsia="宋体" w:cs="Times New Roman"/>
                <w:sz w:val="21"/>
                <w:szCs w:val="21"/>
                <w:vertAlign w:val="baseline"/>
                <w:lang w:val="en-US" w:eastAsia="zh-CN"/>
              </w:rPr>
              <w:t>路两侧200m以内区域</w:t>
            </w:r>
            <w:r>
              <w:rPr>
                <w:rFonts w:hint="eastAsia" w:ascii="Times New Roman" w:hAnsi="Times New Roman" w:eastAsia="宋体" w:cs="Times New Roman"/>
                <w:sz w:val="21"/>
                <w:szCs w:val="21"/>
                <w:vertAlign w:val="baseline"/>
                <w:lang w:val="en-US" w:eastAsia="zh-CN"/>
              </w:rPr>
              <w:t>，居民区、河流、森林植被、土壤</w:t>
            </w:r>
          </w:p>
        </w:tc>
      </w:tr>
      <w:tr>
        <w:tblPrEx>
          <w:tblCellMar>
            <w:top w:w="0" w:type="dxa"/>
            <w:left w:w="0" w:type="dxa"/>
            <w:bottom w:w="0" w:type="dxa"/>
            <w:right w:w="0" w:type="dxa"/>
          </w:tblCellMar>
        </w:tblPrEx>
        <w:trPr>
          <w:trHeight w:val="33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2</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应急组织机构、人员</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地方环保、公安、卫生机构和其他应急人员</w:t>
            </w:r>
          </w:p>
        </w:tc>
      </w:tr>
      <w:tr>
        <w:tblPrEx>
          <w:tblCellMar>
            <w:top w:w="0" w:type="dxa"/>
            <w:left w:w="0" w:type="dxa"/>
            <w:bottom w:w="0" w:type="dxa"/>
            <w:right w:w="0" w:type="dxa"/>
          </w:tblCellMar>
        </w:tblPrEx>
        <w:trPr>
          <w:trHeight w:val="33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3</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应急救援保障</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应急车辆、设施、装备等</w:t>
            </w:r>
          </w:p>
        </w:tc>
      </w:tr>
      <w:tr>
        <w:tblPrEx>
          <w:tblCellMar>
            <w:top w:w="0" w:type="dxa"/>
            <w:left w:w="0" w:type="dxa"/>
            <w:bottom w:w="0" w:type="dxa"/>
            <w:right w:w="0" w:type="dxa"/>
          </w:tblCellMar>
        </w:tblPrEx>
        <w:trPr>
          <w:trHeight w:val="33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4</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报警、通讯联络方式</w:t>
            </w:r>
          </w:p>
        </w:tc>
        <w:tc>
          <w:tcPr>
            <w:tcW w:w="604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应</w:t>
            </w:r>
            <w:r>
              <w:rPr>
                <w:rFonts w:hint="eastAsia" w:ascii="Times New Roman" w:hAnsi="Times New Roman" w:eastAsia="宋体" w:cs="Times New Roman"/>
                <w:sz w:val="21"/>
                <w:szCs w:val="21"/>
                <w:vertAlign w:val="baseline"/>
                <w:lang w:val="en-US" w:eastAsia="zh-CN"/>
              </w:rPr>
              <w:t>急</w:t>
            </w:r>
            <w:r>
              <w:rPr>
                <w:rFonts w:hint="default" w:ascii="Times New Roman" w:hAnsi="Times New Roman" w:eastAsia="宋体" w:cs="Times New Roman"/>
                <w:sz w:val="21"/>
                <w:szCs w:val="21"/>
                <w:vertAlign w:val="baseline"/>
                <w:lang w:val="en-US" w:eastAsia="zh-CN"/>
              </w:rPr>
              <w:t>电话、手机</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sz w:val="21"/>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5</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应急监测、抢险、救援及控制措施</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由</w:t>
            </w:r>
            <w:r>
              <w:rPr>
                <w:rFonts w:hint="eastAsia" w:ascii="Times New Roman" w:hAnsi="Times New Roman" w:eastAsia="宋体" w:cs="Times New Roman"/>
                <w:sz w:val="21"/>
                <w:szCs w:val="21"/>
                <w:vertAlign w:val="baseline"/>
                <w:lang w:val="en-US" w:eastAsia="zh-CN"/>
              </w:rPr>
              <w:t>专</w:t>
            </w:r>
            <w:r>
              <w:rPr>
                <w:rFonts w:hint="default" w:ascii="Times New Roman" w:hAnsi="Times New Roman" w:eastAsia="宋体" w:cs="Times New Roman"/>
                <w:sz w:val="21"/>
                <w:szCs w:val="21"/>
                <w:vertAlign w:val="baseline"/>
                <w:lang w:val="en-US" w:eastAsia="zh-CN"/>
              </w:rPr>
              <w:t>业队伍对事故现场</w:t>
            </w:r>
            <w:r>
              <w:rPr>
                <w:rFonts w:hint="eastAsia" w:ascii="Times New Roman" w:hAnsi="Times New Roman" w:eastAsia="宋体" w:cs="Times New Roman"/>
                <w:sz w:val="21"/>
                <w:szCs w:val="21"/>
                <w:vertAlign w:val="baseline"/>
                <w:lang w:val="en-US" w:eastAsia="zh-CN"/>
              </w:rPr>
              <w:t>进行勘察监测，</w:t>
            </w:r>
            <w:r>
              <w:rPr>
                <w:rFonts w:hint="default" w:ascii="Times New Roman" w:hAnsi="Times New Roman" w:eastAsia="宋体" w:cs="Times New Roman"/>
                <w:sz w:val="21"/>
                <w:szCs w:val="21"/>
                <w:vertAlign w:val="baseline"/>
                <w:lang w:val="en-US" w:eastAsia="zh-CN"/>
              </w:rPr>
              <w:t>对事故性质、参数与后果</w:t>
            </w:r>
            <w:r>
              <w:rPr>
                <w:rFonts w:hint="eastAsia" w:ascii="Times New Roman" w:hAnsi="Times New Roman" w:eastAsia="宋体" w:cs="Times New Roman"/>
                <w:sz w:val="21"/>
                <w:szCs w:val="21"/>
                <w:vertAlign w:val="baseline"/>
                <w:lang w:val="en-US" w:eastAsia="zh-CN"/>
              </w:rPr>
              <w:t>进行评估，</w:t>
            </w:r>
            <w:r>
              <w:rPr>
                <w:rFonts w:hint="default" w:ascii="Times New Roman" w:hAnsi="Times New Roman" w:eastAsia="宋体" w:cs="Times New Roman"/>
                <w:sz w:val="21"/>
                <w:szCs w:val="21"/>
                <w:vertAlign w:val="baseline"/>
                <w:lang w:val="en-US" w:eastAsia="zh-CN"/>
              </w:rPr>
              <w:t>.为指</w:t>
            </w:r>
            <w:r>
              <w:rPr>
                <w:rFonts w:hint="eastAsia" w:ascii="Times New Roman" w:hAnsi="Times New Roman" w:eastAsia="宋体" w:cs="Times New Roman"/>
                <w:sz w:val="21"/>
                <w:szCs w:val="21"/>
                <w:vertAlign w:val="baseline"/>
                <w:lang w:val="en-US" w:eastAsia="zh-CN"/>
              </w:rPr>
              <w:t>挥</w:t>
            </w:r>
            <w:r>
              <w:rPr>
                <w:rFonts w:hint="default" w:ascii="Times New Roman" w:hAnsi="Times New Roman" w:eastAsia="宋体" w:cs="Times New Roman"/>
                <w:sz w:val="21"/>
                <w:szCs w:val="21"/>
                <w:vertAlign w:val="baseline"/>
                <w:lang w:val="en-US" w:eastAsia="zh-CN"/>
              </w:rPr>
              <w:t>部门</w:t>
            </w:r>
            <w:r>
              <w:rPr>
                <w:rFonts w:hint="eastAsia" w:ascii="Times New Roman" w:hAnsi="Times New Roman" w:eastAsia="宋体" w:cs="Times New Roman"/>
                <w:sz w:val="21"/>
                <w:szCs w:val="21"/>
                <w:vertAlign w:val="baseline"/>
                <w:lang w:val="en-US" w:eastAsia="zh-CN"/>
              </w:rPr>
              <w:t>提供决策依据。</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6</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应急监测、防护措施、清除泄露措施和器材</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事教现场，腔制事故、防止扩大、蔓延及连锁反应，很消除现场泄漏物，降低危害，相应的设施器材配备。附近区域∶控制污染区域，特别是污染水体，控制和清除污染措施及相应设备配备</w:t>
            </w:r>
            <w:r>
              <w:rPr>
                <w:rFonts w:hint="eastAsia" w:ascii="Times New Roman" w:hAnsi="Times New Roman" w:eastAsia="宋体" w:cs="Times New Roman"/>
                <w:sz w:val="21"/>
                <w:szCs w:val="21"/>
                <w:vertAlign w:val="baseline"/>
                <w:lang w:val="en-US" w:eastAsia="zh-CN"/>
              </w:rPr>
              <w:t>。</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7</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人电紧急撤离、疏散、应急剂量控制、撤离组织计划</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事故现场∶事故处现人员对毒物的应急剂量控制原定，现场及附近装置人员撒离组织计划及救护。</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附近区域：受事故影响区域人员及公众对毒物</w:t>
            </w:r>
            <w:r>
              <w:rPr>
                <w:rFonts w:hint="default" w:ascii="Times New Roman" w:hAnsi="Times New Roman" w:eastAsia="宋体" w:cs="Times New Roman"/>
                <w:sz w:val="21"/>
                <w:szCs w:val="21"/>
                <w:vertAlign w:val="baseline"/>
                <w:lang w:val="en-US" w:eastAsia="zh-CN"/>
              </w:rPr>
              <w:t>剂量控制规定，撒离组织计划及救护。受污染水体下游20km范围内紧急防护，禁止人畜饮用。</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8</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事故应急救援关闭程序与恢复</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规定应急状态终止程序</w:t>
            </w:r>
            <w:r>
              <w:rPr>
                <w:rFonts w:hint="eastAsia" w:ascii="Times New Roman" w:hAnsi="Times New Roman" w:eastAsia="宋体" w:cs="Times New Roman"/>
                <w:sz w:val="21"/>
                <w:szCs w:val="21"/>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事故现场善后处理，恢复措施。</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临近区域解除事故警戒及善后恢复措施。</w:t>
            </w:r>
          </w:p>
        </w:tc>
      </w:tr>
      <w:tr>
        <w:tblPrEx>
          <w:tblCellMar>
            <w:top w:w="0" w:type="dxa"/>
            <w:left w:w="0" w:type="dxa"/>
            <w:bottom w:w="0" w:type="dxa"/>
            <w:right w:w="0" w:type="dxa"/>
          </w:tblCellMar>
        </w:tblPrEx>
        <w:trPr>
          <w:trHeight w:val="661"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9</w:t>
            </w:r>
          </w:p>
        </w:tc>
        <w:tc>
          <w:tcPr>
            <w:tcW w:w="17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应急培训计划、公众教育</w:t>
            </w:r>
          </w:p>
        </w:tc>
        <w:tc>
          <w:tcPr>
            <w:tcW w:w="60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应急计划定后，平时安准人员增训与孩练，对附近地区公众教育、培训和发布有关信息。</w:t>
            </w:r>
          </w:p>
        </w:tc>
      </w:tr>
    </w:tbl>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0"/>
        <w:rPr>
          <w:rFonts w:hint="default" w:ascii="Times New Roman" w:hAnsi="Times New Roman" w:eastAsia="宋体" w:cs="Times New Roman"/>
          <w:sz w:val="24"/>
          <w:szCs w:val="24"/>
          <w:lang w:val="en-US" w:eastAsia="zh-CN"/>
        </w:rPr>
      </w:pPr>
      <w:bookmarkStart w:id="83" w:name="_Toc543"/>
      <w:r>
        <w:rPr>
          <w:rFonts w:hint="eastAsia" w:ascii="Times New Roman" w:hAnsi="Times New Roman" w:eastAsia="宋体" w:cs="Times New Roman"/>
          <w:b/>
          <w:bCs/>
          <w:sz w:val="24"/>
          <w:szCs w:val="24"/>
          <w:lang w:val="en-US" w:eastAsia="zh-CN"/>
        </w:rPr>
        <w:t>10 调查结论及建议</w:t>
      </w:r>
      <w:bookmarkEnd w:id="83"/>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default" w:ascii="Times New Roman" w:hAnsi="Times New Roman" w:eastAsia="宋体" w:cs="Times New Roman"/>
          <w:sz w:val="24"/>
          <w:szCs w:val="24"/>
          <w:lang w:val="en-US" w:eastAsia="zh-CN"/>
        </w:rPr>
      </w:pPr>
      <w:bookmarkStart w:id="84" w:name="_Toc27158"/>
      <w:r>
        <w:rPr>
          <w:rFonts w:hint="eastAsia" w:ascii="Times New Roman" w:hAnsi="Times New Roman" w:eastAsia="宋体" w:cs="Times New Roman"/>
          <w:sz w:val="24"/>
          <w:szCs w:val="24"/>
          <w:lang w:val="en-US" w:eastAsia="zh-CN"/>
        </w:rPr>
        <w:t>10.1调查结论</w:t>
      </w:r>
      <w:bookmarkEnd w:id="8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85" w:name="_Toc14256"/>
      <w:r>
        <w:rPr>
          <w:rFonts w:hint="eastAsia" w:ascii="Times New Roman" w:hAnsi="Times New Roman" w:eastAsia="宋体" w:cs="Times New Roman"/>
          <w:sz w:val="24"/>
          <w:szCs w:val="24"/>
          <w:lang w:val="en-US" w:eastAsia="zh-CN"/>
        </w:rPr>
        <w:t>10.1.1工程概况</w:t>
      </w:r>
      <w:bookmarkEnd w:id="8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麦沙大道是麦架沙文高新产业发展用地“一横一纵”道路主骨架重要的横向组成部分</w:t>
      </w:r>
      <w:r>
        <w:rPr>
          <w:rFonts w:hint="eastAsia" w:ascii="Times New Roman" w:hAnsi="Times New Roman" w:eastAsia="宋体" w:cs="Times New Roman"/>
          <w:sz w:val="24"/>
          <w:szCs w:val="24"/>
          <w:lang w:eastAsia="zh-CN"/>
        </w:rPr>
        <w:t>，连接麦架镇与沙文镇</w:t>
      </w:r>
      <w:r>
        <w:rPr>
          <w:rFonts w:hint="default" w:ascii="Times New Roman" w:hAnsi="Times New Roman" w:eastAsia="宋体" w:cs="Times New Roman"/>
          <w:sz w:val="24"/>
          <w:szCs w:val="24"/>
        </w:rPr>
        <w:t>，是规划布局的纵向主轴线，南接长岭北路延伸段、刚玉路。道路等级为城市主干道，红线宽度60m，双向十车道。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本道路起点K0+000西起白云北路延伸段，在该处与白云北路延伸段及白修线形成十字形的平面交叉口。然后道路往东北方向延伸，在K0+387处设R=700m的曲线后左偏，道路继续向东北方向延伸，在K1+538处设R=800m的曲线后，路线呈水平向东延伸，于K2+020处上跨麦架河，K2+100至K2+500道路右侧穿过玫瑰基地，在K3+580处道路左侧穿过白云区麻堡小学（现已搬迁），在K5+500处道路左侧穿过白云区云山碳素厂、白云区镀锌厂，在K5+850处设R=3500m的曲线后路线向东北方向延伸，于K6+200处经过域口，最后路线沿规划走向分别与210国道相交，终点下穿贵遵高速公路后于沙文立交处接盐沙大道终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本项目于2010年04月28日开工建设，2014年11月06日所有标段完成验收并投入使用。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86" w:name="_Toc1936"/>
      <w:r>
        <w:rPr>
          <w:rFonts w:hint="eastAsia" w:ascii="Times New Roman" w:hAnsi="Times New Roman" w:eastAsia="宋体" w:cs="Times New Roman"/>
          <w:sz w:val="24"/>
          <w:szCs w:val="24"/>
          <w:lang w:val="en-US" w:eastAsia="zh-CN"/>
        </w:rPr>
        <w:t>10.1.2环保措施落实情况</w:t>
      </w:r>
      <w:bookmarkEnd w:id="8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本工程已按环评要求及相关环保要求建设了相应的设施，施工便道、弃土场等已得到回复，本次调查结果显示，相关环保措施已基本落实，未对沿线环境造成较大的影响。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87" w:name="_Toc21078"/>
      <w:r>
        <w:rPr>
          <w:rFonts w:hint="eastAsia" w:ascii="Times New Roman" w:hAnsi="Times New Roman" w:eastAsia="宋体" w:cs="Times New Roman"/>
          <w:sz w:val="24"/>
          <w:szCs w:val="24"/>
          <w:lang w:val="en-US" w:eastAsia="zh-CN"/>
        </w:rPr>
        <w:t>10.1.3生态环境</w:t>
      </w:r>
      <w:bookmarkEnd w:id="8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本项目永久性占地44.87hm2，施工期临时占地3.21hm2，拆迁建筑物29394m2，弃土场占地2.27hm2，与环评基本保持一致，无重大变化；占用基本农田10.25hm2，比环评增加1.71hm2，变化不大。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本项目开挖土方11.04万m3，石方53.51万m3，填方58.68万m3，弃方5.87万m3。</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本项目未设置专门的取土场，所需料石全部采用购买，仅设置1处永久性弃土场和4个临时弃土场；4个临时弃土场现已完成清理、平整、绿化等，永久弃土场现已夯实、整理，并进行了绿化覆盖。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实地勘察，本项目扰动原地貌53.12hm2，较环评（48.08hm2）增加了5.04hm2，水土保持设施面积40.49hm2，其中梯坪地8.7hm2、水田28.69hm2、荒山荒坡3.1hm2。扰动土地整治率为76.2%，边坡建设，临时堆场恢复，沿线施工扰动区已进行生态恢复，基本完成水土保持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道路沿线已种植行道树，路中心隔离带绿化等已基本完成。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88" w:name="_Toc21893"/>
      <w:r>
        <w:rPr>
          <w:rFonts w:hint="eastAsia" w:ascii="Times New Roman" w:hAnsi="Times New Roman" w:eastAsia="宋体" w:cs="Times New Roman"/>
          <w:sz w:val="24"/>
          <w:szCs w:val="24"/>
          <w:lang w:val="en-US" w:eastAsia="zh-CN"/>
        </w:rPr>
        <w:t>10.1.4水环境</w:t>
      </w:r>
      <w:bookmarkEnd w:id="8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本工程沿线设有边沟，能有效对冲刷路面的雨水收集引流，有效防止其对周边环境的影响。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从贵州明德工程咨询有限公司监测结果可看出五日生化需氧量和化学需氧量监测结果已超《地表水环境质量标准》（GB 3838-2002）Ⅲ类水标准，超标倍数分别为0.75和0.15；其余指标均达到《地表水环境质量标准》（GB 3838-2002）Ⅲ类水标准。从本工程环评报告上可知氨氮、化学需氧量、五日生化需氧量超标倍数分别为0.19、1.03、0.80，由此可以看出本工程验收期间麦架河水质较本工程环评期间有所好转。</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89" w:name="_Toc10596"/>
      <w:r>
        <w:rPr>
          <w:rFonts w:hint="eastAsia" w:ascii="Times New Roman" w:hAnsi="Times New Roman" w:eastAsia="宋体" w:cs="Times New Roman"/>
          <w:sz w:val="24"/>
          <w:szCs w:val="24"/>
          <w:lang w:val="en-US" w:eastAsia="zh-CN"/>
        </w:rPr>
        <w:t>10.1.5环境空气</w:t>
      </w:r>
      <w:bookmarkEnd w:id="8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本工程定期安排环卫人员清扫道路上洒落的散装物料减少车辆通过引起起尘，沿线种植行道树，在干燥天气对路面采取洒水措施，有效降低扬尘，对大气环境影响较小。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eastAsiaTheme="minorEastAsia"/>
          <w:sz w:val="24"/>
          <w:szCs w:val="24"/>
          <w:lang w:val="en-US" w:eastAsia="zh-CN"/>
        </w:rPr>
      </w:pPr>
      <w:r>
        <w:rPr>
          <w:rFonts w:hint="eastAsia" w:ascii="Times New Roman" w:hAnsi="Times New Roman" w:eastAsia="宋体" w:cs="Times New Roman"/>
          <w:sz w:val="24"/>
          <w:szCs w:val="24"/>
          <w:lang w:val="en-US" w:eastAsia="zh-CN"/>
        </w:rPr>
        <w:t>沿线敏感点监测结果满足</w:t>
      </w:r>
      <w:r>
        <w:rPr>
          <w:spacing w:val="-4"/>
          <w:sz w:val="24"/>
          <w:szCs w:val="24"/>
        </w:rPr>
        <w:t>《环境空气质量标准</w:t>
      </w:r>
      <w:r>
        <w:rPr>
          <w:spacing w:val="-140"/>
          <w:sz w:val="24"/>
          <w:szCs w:val="24"/>
        </w:rPr>
        <w:t>》</w:t>
      </w:r>
      <w:r>
        <w:rPr>
          <w:sz w:val="24"/>
          <w:szCs w:val="24"/>
        </w:rPr>
        <w:t>（</w:t>
      </w:r>
      <w:r>
        <w:rPr>
          <w:rFonts w:ascii="Times New Roman" w:eastAsia="Times New Roman"/>
          <w:sz w:val="24"/>
          <w:szCs w:val="24"/>
        </w:rPr>
        <w:t>GB3095-1996</w:t>
      </w:r>
      <w:r>
        <w:rPr>
          <w:sz w:val="24"/>
          <w:szCs w:val="24"/>
        </w:rPr>
        <w:t>）</w:t>
      </w:r>
      <w:r>
        <w:rPr>
          <w:spacing w:val="-5"/>
          <w:sz w:val="24"/>
          <w:szCs w:val="24"/>
        </w:rPr>
        <w:t>标准限值</w:t>
      </w:r>
      <w:r>
        <w:rPr>
          <w:rFonts w:hint="eastAsia"/>
          <w:spacing w:val="-5"/>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0" w:name="_Toc15793"/>
      <w:r>
        <w:rPr>
          <w:rFonts w:hint="eastAsia" w:ascii="Times New Roman" w:hAnsi="Times New Roman" w:eastAsia="宋体" w:cs="Times New Roman"/>
          <w:sz w:val="24"/>
          <w:szCs w:val="24"/>
          <w:lang w:val="en-US" w:eastAsia="zh-CN"/>
        </w:rPr>
        <w:t>10.1.6声环境</w:t>
      </w:r>
      <w:bookmarkEnd w:id="9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本工程已基本按照环境影响评价报告要求建设相关设施，沿线敏感点监测结果均满足《声环境质量标准》（GB 3096-2008）的相关要求。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1" w:name="_Toc6265"/>
      <w:r>
        <w:rPr>
          <w:rFonts w:hint="eastAsia" w:ascii="Times New Roman" w:hAnsi="Times New Roman" w:eastAsia="宋体" w:cs="Times New Roman"/>
          <w:sz w:val="24"/>
          <w:szCs w:val="24"/>
          <w:lang w:val="en-US" w:eastAsia="zh-CN"/>
        </w:rPr>
        <w:t>10.1.7固体废物</w:t>
      </w:r>
      <w:bookmarkEnd w:id="9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本工程沿线设置了垃圾池或垃圾箱，对生活垃圾收集后定期交由环卫部门清运，不向周边环境排弃，亦没有生活垃圾过多堆存不清运的情况，没有造成不良的环境影响。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2" w:name="_Toc10949"/>
      <w:r>
        <w:rPr>
          <w:rFonts w:hint="eastAsia" w:ascii="Times New Roman" w:hAnsi="Times New Roman" w:eastAsia="宋体" w:cs="Times New Roman"/>
          <w:sz w:val="24"/>
          <w:szCs w:val="24"/>
          <w:lang w:val="en-US" w:eastAsia="zh-CN"/>
        </w:rPr>
        <w:t>10.1.8公众调查</w:t>
      </w:r>
      <w:bookmarkEnd w:id="9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100%的司乘人员及沿线居民公众对本公路工程环境保护工作的总体评价为满意或基本满意。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2"/>
        <w:rPr>
          <w:rFonts w:hint="eastAsia" w:ascii="Times New Roman" w:hAnsi="Times New Roman" w:eastAsia="宋体" w:cs="Times New Roman"/>
          <w:sz w:val="24"/>
          <w:szCs w:val="24"/>
          <w:lang w:val="en-US" w:eastAsia="zh-CN"/>
        </w:rPr>
      </w:pPr>
      <w:bookmarkStart w:id="93" w:name="_Toc3813"/>
      <w:r>
        <w:rPr>
          <w:rFonts w:hint="eastAsia" w:ascii="Times New Roman" w:hAnsi="Times New Roman" w:eastAsia="宋体" w:cs="Times New Roman"/>
          <w:sz w:val="24"/>
          <w:szCs w:val="24"/>
          <w:lang w:val="en-US" w:eastAsia="zh-CN"/>
        </w:rPr>
        <w:t>10.1.9应急预案</w:t>
      </w:r>
      <w:bookmarkEnd w:id="9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本项目制定了相适应的环境风险应急预案；应急管理机构已建立，管理职责明确，应急机制合理有效。</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b/>
          <w:bCs/>
          <w:sz w:val="24"/>
          <w:szCs w:val="24"/>
          <w:lang w:val="en-US" w:eastAsia="zh-CN"/>
        </w:rPr>
        <w:t>综上所述，贵阳高新技术产业经济带沙文生态科技产业园麦沙大道道路工程在设计、施工和试运营过程中采取了较为有效的生态保护和污染防治措施，对沿线敏感目标未产生明显影响，在现有交通状况下全线敏感点声环境及大气环境质量均满足相应标准要求。建议通过竣工环境保护验收。</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eastAsia" w:ascii="Times New Roman" w:hAnsi="Times New Roman" w:eastAsia="宋体" w:cs="Times New Roman"/>
          <w:sz w:val="24"/>
          <w:szCs w:val="24"/>
          <w:lang w:val="en-US" w:eastAsia="zh-CN"/>
        </w:rPr>
      </w:pPr>
      <w:bookmarkStart w:id="94" w:name="_Toc18601"/>
      <w:r>
        <w:rPr>
          <w:rFonts w:hint="eastAsia" w:ascii="Times New Roman" w:hAnsi="Times New Roman" w:eastAsia="宋体" w:cs="Times New Roman"/>
          <w:sz w:val="24"/>
          <w:szCs w:val="24"/>
          <w:lang w:val="en-US" w:eastAsia="zh-CN"/>
        </w:rPr>
        <w:t>10.2建议</w:t>
      </w:r>
      <w:bookmarkEnd w:id="9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1、建议对自然恢复效果欠佳的取土场尽快采取有效的生态恢复措施；并加强对工程沿线临时占地、绿化及护坡工程的养护和管理。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2、加强风险事故应急管理，定期开展应急演练，提高风险应对能力。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3、加强对沿线桥面径流收集系统、</w:t>
      </w:r>
      <w:r>
        <w:rPr>
          <w:rFonts w:hint="eastAsia" w:ascii="Times New Roman" w:hAnsi="Times New Roman" w:eastAsia="宋体" w:cs="Times New Roman"/>
          <w:sz w:val="24"/>
          <w:szCs w:val="24"/>
          <w:lang w:val="en-US" w:eastAsia="zh-CN"/>
        </w:rPr>
        <w:t>边沟、边坡防护设施、沿线绿化</w:t>
      </w:r>
      <w:r>
        <w:rPr>
          <w:rFonts w:hint="default" w:ascii="Times New Roman" w:hAnsi="Times New Roman" w:eastAsia="宋体" w:cs="Times New Roman"/>
          <w:sz w:val="24"/>
          <w:szCs w:val="24"/>
          <w:lang w:val="en-US" w:eastAsia="zh-CN"/>
        </w:rPr>
        <w:t>等的管理和维护，确保其正常运行。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4、加强对上路车辆的检查和管理，严禁高噪声和未加盖篷布的散装物料运载车辆上路。</w:t>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sz w:val="24"/>
          <w:szCs w:val="24"/>
          <w:lang w:val="en-US" w:eastAsia="zh-CN"/>
        </w:rPr>
      </w:pPr>
      <w:bookmarkStart w:id="95" w:name="_Toc867"/>
      <w:r>
        <w:rPr>
          <w:rFonts w:hint="eastAsia" w:ascii="Times New Roman" w:hAnsi="Times New Roman" w:eastAsia="宋体" w:cs="Times New Roman"/>
          <w:sz w:val="24"/>
          <w:szCs w:val="24"/>
          <w:lang w:val="en-US" w:eastAsia="zh-CN"/>
        </w:rPr>
        <w:t>附件一：立项文件批复</w:t>
      </w:r>
      <w:bookmarkEnd w:id="9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24" name="图片 24" descr="立项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立项批复1"/>
                    <pic:cNvPicPr>
                      <a:picLocks noChangeAspect="1"/>
                    </pic:cNvPicPr>
                  </pic:nvPicPr>
                  <pic:blipFill>
                    <a:blip r:embed="rId29"/>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25" name="图片 25" descr="立项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立项批复2"/>
                    <pic:cNvPicPr>
                      <a:picLocks noChangeAspect="1"/>
                    </pic:cNvPicPr>
                  </pic:nvPicPr>
                  <pic:blipFill>
                    <a:blip r:embed="rId30"/>
                    <a:stretch>
                      <a:fillRect/>
                    </a:stretch>
                  </pic:blipFill>
                  <pic:spPr>
                    <a:xfrm>
                      <a:off x="0" y="0"/>
                      <a:ext cx="5269865" cy="7232650"/>
                    </a:xfrm>
                    <a:prstGeom prst="rect">
                      <a:avLst/>
                    </a:prstGeom>
                  </pic:spPr>
                </pic:pic>
              </a:graphicData>
            </a:graphic>
          </wp:inline>
        </w:drawing>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sz w:val="24"/>
          <w:szCs w:val="24"/>
          <w:lang w:val="en-US" w:eastAsia="zh-CN"/>
        </w:rPr>
      </w:pPr>
      <w:bookmarkStart w:id="96" w:name="_Toc3032"/>
      <w:r>
        <w:rPr>
          <w:rFonts w:hint="eastAsia" w:ascii="Times New Roman" w:hAnsi="Times New Roman" w:eastAsia="宋体" w:cs="Times New Roman"/>
          <w:sz w:val="24"/>
          <w:szCs w:val="24"/>
          <w:lang w:val="en-US" w:eastAsia="zh-CN"/>
        </w:rPr>
        <w:t>附件二：环评批复文件</w:t>
      </w:r>
      <w:bookmarkEnd w:id="9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26" name="图片 26" descr="环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环评批复1"/>
                    <pic:cNvPicPr>
                      <a:picLocks noChangeAspect="1"/>
                    </pic:cNvPicPr>
                  </pic:nvPicPr>
                  <pic:blipFill>
                    <a:blip r:embed="rId31"/>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27" name="图片 27" descr="环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环评批复2"/>
                    <pic:cNvPicPr>
                      <a:picLocks noChangeAspect="1"/>
                    </pic:cNvPicPr>
                  </pic:nvPicPr>
                  <pic:blipFill>
                    <a:blip r:embed="rId32"/>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28" name="图片 28" descr="环评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环评批复3"/>
                    <pic:cNvPicPr>
                      <a:picLocks noChangeAspect="1"/>
                    </pic:cNvPicPr>
                  </pic:nvPicPr>
                  <pic:blipFill>
                    <a:blip r:embed="rId33"/>
                    <a:stretch>
                      <a:fillRect/>
                    </a:stretch>
                  </pic:blipFill>
                  <pic:spPr>
                    <a:xfrm>
                      <a:off x="0" y="0"/>
                      <a:ext cx="5269865" cy="723265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9865" cy="7232650"/>
            <wp:effectExtent l="0" t="0" r="6985" b="6350"/>
            <wp:docPr id="29" name="图片 29" descr="环评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环评批复4"/>
                    <pic:cNvPicPr>
                      <a:picLocks noChangeAspect="1"/>
                    </pic:cNvPicPr>
                  </pic:nvPicPr>
                  <pic:blipFill>
                    <a:blip r:embed="rId34"/>
                    <a:stretch>
                      <a:fillRect/>
                    </a:stretch>
                  </pic:blipFill>
                  <pic:spPr>
                    <a:xfrm>
                      <a:off x="0" y="0"/>
                      <a:ext cx="5269865" cy="7232650"/>
                    </a:xfrm>
                    <a:prstGeom prst="rect">
                      <a:avLst/>
                    </a:prstGeom>
                  </pic:spPr>
                </pic:pic>
              </a:graphicData>
            </a:graphic>
          </wp:inline>
        </w:drawing>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outlineLvl w:val="0"/>
        <w:rPr>
          <w:rFonts w:hint="eastAsia" w:ascii="Times New Roman" w:hAnsi="Times New Roman" w:eastAsia="宋体" w:cs="Times New Roman"/>
          <w:sz w:val="24"/>
          <w:szCs w:val="24"/>
          <w:lang w:val="en-US" w:eastAsia="zh-CN"/>
        </w:rPr>
      </w:pPr>
      <w:bookmarkStart w:id="97" w:name="_Toc13953"/>
      <w:r>
        <w:rPr>
          <w:rFonts w:hint="eastAsia" w:ascii="Times New Roman" w:hAnsi="Times New Roman" w:eastAsia="宋体" w:cs="Times New Roman"/>
          <w:sz w:val="24"/>
          <w:szCs w:val="24"/>
          <w:lang w:val="en-US" w:eastAsia="zh-CN"/>
        </w:rPr>
        <w:t>附件三：验收监测报告</w:t>
      </w:r>
      <w:bookmarkEnd w:id="9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sectPr>
          <w:pgSz w:w="11906" w:h="16838"/>
          <w:pgMar w:top="1440" w:right="1800" w:bottom="1440" w:left="1800" w:header="850" w:footer="992" w:gutter="0"/>
          <w:pgNumType w:fmt="decimal"/>
          <w:cols w:space="425" w:num="1"/>
          <w:docGrid w:type="lines" w:linePitch="312" w:charSpace="0"/>
        </w:sectPr>
      </w:pPr>
      <w:r>
        <w:drawing>
          <wp:inline distT="0" distB="0" distL="114300" distR="114300">
            <wp:extent cx="5038725" cy="7038975"/>
            <wp:effectExtent l="0" t="0" r="9525"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35"/>
                    <a:stretch>
                      <a:fillRect/>
                    </a:stretch>
                  </pic:blipFill>
                  <pic:spPr>
                    <a:xfrm>
                      <a:off x="0" y="0"/>
                      <a:ext cx="5038725" cy="7038975"/>
                    </a:xfrm>
                    <a:prstGeom prst="rect">
                      <a:avLst/>
                    </a:prstGeom>
                    <a:noFill/>
                    <a:ln>
                      <a:noFill/>
                    </a:ln>
                  </pic:spPr>
                </pic:pic>
              </a:graphicData>
            </a:graphic>
          </wp:inline>
        </w:drawing>
      </w:r>
      <w:r>
        <w:drawing>
          <wp:inline distT="0" distB="0" distL="114300" distR="114300">
            <wp:extent cx="5000625" cy="6867525"/>
            <wp:effectExtent l="0" t="0" r="9525" b="952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36"/>
                    <a:stretch>
                      <a:fillRect/>
                    </a:stretch>
                  </pic:blipFill>
                  <pic:spPr>
                    <a:xfrm>
                      <a:off x="0" y="0"/>
                      <a:ext cx="5000625" cy="6867525"/>
                    </a:xfrm>
                    <a:prstGeom prst="rect">
                      <a:avLst/>
                    </a:prstGeom>
                    <a:noFill/>
                    <a:ln>
                      <a:noFill/>
                    </a:ln>
                  </pic:spPr>
                </pic:pic>
              </a:graphicData>
            </a:graphic>
          </wp:inline>
        </w:drawing>
      </w:r>
      <w:r>
        <w:drawing>
          <wp:inline distT="0" distB="0" distL="114300" distR="114300">
            <wp:extent cx="5000625" cy="6972300"/>
            <wp:effectExtent l="0" t="0" r="9525" b="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37"/>
                    <a:stretch>
                      <a:fillRect/>
                    </a:stretch>
                  </pic:blipFill>
                  <pic:spPr>
                    <a:xfrm>
                      <a:off x="0" y="0"/>
                      <a:ext cx="5000625" cy="6972300"/>
                    </a:xfrm>
                    <a:prstGeom prst="rect">
                      <a:avLst/>
                    </a:prstGeom>
                    <a:noFill/>
                    <a:ln>
                      <a:noFill/>
                    </a:ln>
                  </pic:spPr>
                </pic:pic>
              </a:graphicData>
            </a:graphic>
          </wp:inline>
        </w:drawing>
      </w:r>
      <w:r>
        <w:drawing>
          <wp:inline distT="0" distB="0" distL="114300" distR="114300">
            <wp:extent cx="4991100" cy="6991350"/>
            <wp:effectExtent l="0" t="0" r="0"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38"/>
                    <a:stretch>
                      <a:fillRect/>
                    </a:stretch>
                  </pic:blipFill>
                  <pic:spPr>
                    <a:xfrm>
                      <a:off x="0" y="0"/>
                      <a:ext cx="4991100" cy="6991350"/>
                    </a:xfrm>
                    <a:prstGeom prst="rect">
                      <a:avLst/>
                    </a:prstGeom>
                    <a:noFill/>
                    <a:ln>
                      <a:noFill/>
                    </a:ln>
                  </pic:spPr>
                </pic:pic>
              </a:graphicData>
            </a:graphic>
          </wp:inline>
        </w:drawing>
      </w:r>
      <w:r>
        <w:drawing>
          <wp:inline distT="0" distB="0" distL="114300" distR="114300">
            <wp:extent cx="5010150" cy="6972300"/>
            <wp:effectExtent l="0" t="0" r="0" b="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39"/>
                    <a:stretch>
                      <a:fillRect/>
                    </a:stretch>
                  </pic:blipFill>
                  <pic:spPr>
                    <a:xfrm>
                      <a:off x="0" y="0"/>
                      <a:ext cx="5010150" cy="6972300"/>
                    </a:xfrm>
                    <a:prstGeom prst="rect">
                      <a:avLst/>
                    </a:prstGeom>
                    <a:noFill/>
                    <a:ln>
                      <a:noFill/>
                    </a:ln>
                  </pic:spPr>
                </pic:pic>
              </a:graphicData>
            </a:graphic>
          </wp:inline>
        </w:drawing>
      </w:r>
      <w:r>
        <w:drawing>
          <wp:inline distT="0" distB="0" distL="114300" distR="114300">
            <wp:extent cx="5019675" cy="7019925"/>
            <wp:effectExtent l="0" t="0" r="9525" b="952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40"/>
                    <a:stretch>
                      <a:fillRect/>
                    </a:stretch>
                  </pic:blipFill>
                  <pic:spPr>
                    <a:xfrm>
                      <a:off x="0" y="0"/>
                      <a:ext cx="5019675" cy="7019925"/>
                    </a:xfrm>
                    <a:prstGeom prst="rect">
                      <a:avLst/>
                    </a:prstGeom>
                    <a:noFill/>
                    <a:ln>
                      <a:noFill/>
                    </a:ln>
                  </pic:spPr>
                </pic:pic>
              </a:graphicData>
            </a:graphic>
          </wp:inline>
        </w:drawing>
      </w:r>
      <w:r>
        <w:drawing>
          <wp:inline distT="0" distB="0" distL="114300" distR="114300">
            <wp:extent cx="4962525" cy="7010400"/>
            <wp:effectExtent l="0" t="0" r="9525" b="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41"/>
                    <a:stretch>
                      <a:fillRect/>
                    </a:stretch>
                  </pic:blipFill>
                  <pic:spPr>
                    <a:xfrm>
                      <a:off x="0" y="0"/>
                      <a:ext cx="4962525" cy="7010400"/>
                    </a:xfrm>
                    <a:prstGeom prst="rect">
                      <a:avLst/>
                    </a:prstGeom>
                    <a:noFill/>
                    <a:ln>
                      <a:noFill/>
                    </a:ln>
                  </pic:spPr>
                </pic:pic>
              </a:graphicData>
            </a:graphic>
          </wp:inline>
        </w:drawing>
      </w:r>
      <w:r>
        <w:drawing>
          <wp:inline distT="0" distB="0" distL="114300" distR="114300">
            <wp:extent cx="4972050" cy="6819900"/>
            <wp:effectExtent l="0" t="0" r="0" b="0"/>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42"/>
                    <a:stretch>
                      <a:fillRect/>
                    </a:stretch>
                  </pic:blipFill>
                  <pic:spPr>
                    <a:xfrm>
                      <a:off x="0" y="0"/>
                      <a:ext cx="4972050" cy="6819900"/>
                    </a:xfrm>
                    <a:prstGeom prst="rect">
                      <a:avLst/>
                    </a:prstGeom>
                    <a:noFill/>
                    <a:ln>
                      <a:noFill/>
                    </a:ln>
                  </pic:spPr>
                </pic:pic>
              </a:graphicData>
            </a:graphic>
          </wp:inline>
        </w:drawing>
      </w:r>
      <w:r>
        <w:drawing>
          <wp:inline distT="0" distB="0" distL="114300" distR="114300">
            <wp:extent cx="4953000" cy="6934200"/>
            <wp:effectExtent l="0" t="0" r="0" b="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43"/>
                    <a:stretch>
                      <a:fillRect/>
                    </a:stretch>
                  </pic:blipFill>
                  <pic:spPr>
                    <a:xfrm>
                      <a:off x="0" y="0"/>
                      <a:ext cx="4953000" cy="6934200"/>
                    </a:xfrm>
                    <a:prstGeom prst="rect">
                      <a:avLst/>
                    </a:prstGeom>
                    <a:noFill/>
                    <a:ln>
                      <a:noFill/>
                    </a:ln>
                  </pic:spPr>
                </pic:pic>
              </a:graphicData>
            </a:graphic>
          </wp:inline>
        </w:drawing>
      </w:r>
      <w:r>
        <w:drawing>
          <wp:inline distT="0" distB="0" distL="114300" distR="114300">
            <wp:extent cx="5029200" cy="7000875"/>
            <wp:effectExtent l="0" t="0" r="0" b="952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44"/>
                    <a:stretch>
                      <a:fillRect/>
                    </a:stretch>
                  </pic:blipFill>
                  <pic:spPr>
                    <a:xfrm>
                      <a:off x="0" y="0"/>
                      <a:ext cx="5029200" cy="7000875"/>
                    </a:xfrm>
                    <a:prstGeom prst="rect">
                      <a:avLst/>
                    </a:prstGeom>
                    <a:noFill/>
                    <a:ln>
                      <a:noFill/>
                    </a:ln>
                  </pic:spPr>
                </pic:pic>
              </a:graphicData>
            </a:graphic>
          </wp:inline>
        </w:drawing>
      </w:r>
      <w:r>
        <w:drawing>
          <wp:inline distT="0" distB="0" distL="114300" distR="114300">
            <wp:extent cx="5000625" cy="6800850"/>
            <wp:effectExtent l="0" t="0" r="9525" b="0"/>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45"/>
                    <a:stretch>
                      <a:fillRect/>
                    </a:stretch>
                  </pic:blipFill>
                  <pic:spPr>
                    <a:xfrm>
                      <a:off x="0" y="0"/>
                      <a:ext cx="5000625" cy="6800850"/>
                    </a:xfrm>
                    <a:prstGeom prst="rect">
                      <a:avLst/>
                    </a:prstGeom>
                    <a:noFill/>
                    <a:ln>
                      <a:noFill/>
                    </a:ln>
                  </pic:spPr>
                </pic:pic>
              </a:graphicData>
            </a:graphic>
          </wp:inline>
        </w:drawing>
      </w:r>
      <w:r>
        <w:drawing>
          <wp:inline distT="0" distB="0" distL="114300" distR="114300">
            <wp:extent cx="4933950" cy="6981825"/>
            <wp:effectExtent l="0" t="0" r="0" b="9525"/>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46"/>
                    <a:stretch>
                      <a:fillRect/>
                    </a:stretch>
                  </pic:blipFill>
                  <pic:spPr>
                    <a:xfrm>
                      <a:off x="0" y="0"/>
                      <a:ext cx="4933950" cy="6981825"/>
                    </a:xfrm>
                    <a:prstGeom prst="rect">
                      <a:avLst/>
                    </a:prstGeom>
                    <a:noFill/>
                    <a:ln>
                      <a:noFill/>
                    </a:ln>
                  </pic:spPr>
                </pic:pic>
              </a:graphicData>
            </a:graphic>
          </wp:inline>
        </w:drawing>
      </w:r>
      <w:r>
        <w:drawing>
          <wp:inline distT="0" distB="0" distL="114300" distR="114300">
            <wp:extent cx="5010150" cy="6838950"/>
            <wp:effectExtent l="0" t="0" r="0" b="0"/>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47"/>
                    <a:stretch>
                      <a:fillRect/>
                    </a:stretch>
                  </pic:blipFill>
                  <pic:spPr>
                    <a:xfrm>
                      <a:off x="0" y="0"/>
                      <a:ext cx="5010150" cy="6838950"/>
                    </a:xfrm>
                    <a:prstGeom prst="rect">
                      <a:avLst/>
                    </a:prstGeom>
                    <a:noFill/>
                    <a:ln>
                      <a:noFill/>
                    </a:ln>
                  </pic:spPr>
                </pic:pic>
              </a:graphicData>
            </a:graphic>
          </wp:inline>
        </w:drawing>
      </w:r>
      <w:r>
        <w:drawing>
          <wp:inline distT="0" distB="0" distL="114300" distR="114300">
            <wp:extent cx="4962525" cy="6981825"/>
            <wp:effectExtent l="0" t="0" r="9525" b="9525"/>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48"/>
                    <a:stretch>
                      <a:fillRect/>
                    </a:stretch>
                  </pic:blipFill>
                  <pic:spPr>
                    <a:xfrm>
                      <a:off x="0" y="0"/>
                      <a:ext cx="4962525" cy="6981825"/>
                    </a:xfrm>
                    <a:prstGeom prst="rect">
                      <a:avLst/>
                    </a:prstGeom>
                    <a:noFill/>
                    <a:ln>
                      <a:noFill/>
                    </a:ln>
                  </pic:spPr>
                </pic:pic>
              </a:graphicData>
            </a:graphic>
          </wp:inline>
        </w:drawing>
      </w:r>
      <w:r>
        <w:drawing>
          <wp:inline distT="0" distB="0" distL="114300" distR="114300">
            <wp:extent cx="4991100" cy="7019925"/>
            <wp:effectExtent l="0" t="0" r="0" b="9525"/>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49"/>
                    <a:stretch>
                      <a:fillRect/>
                    </a:stretch>
                  </pic:blipFill>
                  <pic:spPr>
                    <a:xfrm>
                      <a:off x="0" y="0"/>
                      <a:ext cx="4991100" cy="7019925"/>
                    </a:xfrm>
                    <a:prstGeom prst="rect">
                      <a:avLst/>
                    </a:prstGeom>
                    <a:noFill/>
                    <a:ln>
                      <a:noFill/>
                    </a:ln>
                  </pic:spPr>
                </pic:pic>
              </a:graphicData>
            </a:graphic>
          </wp:inline>
        </w:drawing>
      </w:r>
      <w:r>
        <w:drawing>
          <wp:inline distT="0" distB="0" distL="114300" distR="114300">
            <wp:extent cx="4943475" cy="6953250"/>
            <wp:effectExtent l="0" t="0" r="9525" b="0"/>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50"/>
                    <a:stretch>
                      <a:fillRect/>
                    </a:stretch>
                  </pic:blipFill>
                  <pic:spPr>
                    <a:xfrm>
                      <a:off x="0" y="0"/>
                      <a:ext cx="4943475" cy="6953250"/>
                    </a:xfrm>
                    <a:prstGeom prst="rect">
                      <a:avLst/>
                    </a:prstGeom>
                    <a:noFill/>
                    <a:ln>
                      <a:noFill/>
                    </a:ln>
                  </pic:spPr>
                </pic:pic>
              </a:graphicData>
            </a:graphic>
          </wp:inline>
        </w:drawing>
      </w:r>
      <w:r>
        <w:drawing>
          <wp:inline distT="0" distB="0" distL="114300" distR="114300">
            <wp:extent cx="5019675" cy="6991350"/>
            <wp:effectExtent l="0" t="0" r="9525" b="0"/>
            <wp:docPr id="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pic:cNvPicPr>
                      <a:picLocks noChangeAspect="1"/>
                    </pic:cNvPicPr>
                  </pic:nvPicPr>
                  <pic:blipFill>
                    <a:blip r:embed="rId51"/>
                    <a:stretch>
                      <a:fillRect/>
                    </a:stretch>
                  </pic:blipFill>
                  <pic:spPr>
                    <a:xfrm>
                      <a:off x="0" y="0"/>
                      <a:ext cx="5019675" cy="6991350"/>
                    </a:xfrm>
                    <a:prstGeom prst="rect">
                      <a:avLst/>
                    </a:prstGeom>
                    <a:noFill/>
                    <a:ln>
                      <a:noFill/>
                    </a:ln>
                  </pic:spPr>
                </pic:pic>
              </a:graphicData>
            </a:graphic>
          </wp:inline>
        </w:drawing>
      </w:r>
      <w:r>
        <w:drawing>
          <wp:inline distT="0" distB="0" distL="114300" distR="114300">
            <wp:extent cx="5048250" cy="6877050"/>
            <wp:effectExtent l="0" t="0" r="0" b="0"/>
            <wp:docPr id="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pic:cNvPicPr>
                      <a:picLocks noChangeAspect="1"/>
                    </pic:cNvPicPr>
                  </pic:nvPicPr>
                  <pic:blipFill>
                    <a:blip r:embed="rId52"/>
                    <a:stretch>
                      <a:fillRect/>
                    </a:stretch>
                  </pic:blipFill>
                  <pic:spPr>
                    <a:xfrm>
                      <a:off x="0" y="0"/>
                      <a:ext cx="5048250" cy="6877050"/>
                    </a:xfrm>
                    <a:prstGeom prst="rect">
                      <a:avLst/>
                    </a:prstGeom>
                    <a:noFill/>
                    <a:ln>
                      <a:noFill/>
                    </a:ln>
                  </pic:spPr>
                </pic:pic>
              </a:graphicData>
            </a:graphic>
          </wp:inline>
        </w:drawing>
      </w:r>
      <w:r>
        <w:drawing>
          <wp:inline distT="0" distB="0" distL="114300" distR="114300">
            <wp:extent cx="5019675" cy="7096125"/>
            <wp:effectExtent l="0" t="0" r="9525" b="9525"/>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53"/>
                    <a:stretch>
                      <a:fillRect/>
                    </a:stretch>
                  </pic:blipFill>
                  <pic:spPr>
                    <a:xfrm>
                      <a:off x="0" y="0"/>
                      <a:ext cx="5019675" cy="7096125"/>
                    </a:xfrm>
                    <a:prstGeom prst="rect">
                      <a:avLst/>
                    </a:prstGeom>
                    <a:noFill/>
                    <a:ln>
                      <a:noFill/>
                    </a:ln>
                  </pic:spPr>
                </pic:pic>
              </a:graphicData>
            </a:graphic>
          </wp:inline>
        </w:drawing>
      </w:r>
      <w:r>
        <w:drawing>
          <wp:inline distT="0" distB="0" distL="114300" distR="114300">
            <wp:extent cx="4962525" cy="6972300"/>
            <wp:effectExtent l="0" t="0" r="9525" b="0"/>
            <wp:docPr id="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pic:cNvPicPr>
                      <a:picLocks noChangeAspect="1"/>
                    </pic:cNvPicPr>
                  </pic:nvPicPr>
                  <pic:blipFill>
                    <a:blip r:embed="rId54"/>
                    <a:stretch>
                      <a:fillRect/>
                    </a:stretch>
                  </pic:blipFill>
                  <pic:spPr>
                    <a:xfrm>
                      <a:off x="0" y="0"/>
                      <a:ext cx="4962525" cy="6972300"/>
                    </a:xfrm>
                    <a:prstGeom prst="rect">
                      <a:avLst/>
                    </a:prstGeom>
                    <a:noFill/>
                    <a:ln>
                      <a:noFill/>
                    </a:ln>
                  </pic:spPr>
                </pic:pic>
              </a:graphicData>
            </a:graphic>
          </wp:inline>
        </w:drawing>
      </w:r>
      <w:r>
        <w:drawing>
          <wp:inline distT="0" distB="0" distL="114300" distR="114300">
            <wp:extent cx="5010150" cy="6915150"/>
            <wp:effectExtent l="0" t="0" r="0" b="0"/>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55"/>
                    <a:stretch>
                      <a:fillRect/>
                    </a:stretch>
                  </pic:blipFill>
                  <pic:spPr>
                    <a:xfrm>
                      <a:off x="0" y="0"/>
                      <a:ext cx="5010150" cy="6915150"/>
                    </a:xfrm>
                    <a:prstGeom prst="rect">
                      <a:avLst/>
                    </a:prstGeom>
                    <a:noFill/>
                    <a:ln>
                      <a:noFill/>
                    </a:ln>
                  </pic:spPr>
                </pic:pic>
              </a:graphicData>
            </a:graphic>
          </wp:inline>
        </w:drawing>
      </w:r>
      <w:r>
        <w:drawing>
          <wp:inline distT="0" distB="0" distL="114300" distR="114300">
            <wp:extent cx="5019675" cy="7077075"/>
            <wp:effectExtent l="0" t="0" r="9525" b="9525"/>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56"/>
                    <a:stretch>
                      <a:fillRect/>
                    </a:stretch>
                  </pic:blipFill>
                  <pic:spPr>
                    <a:xfrm>
                      <a:off x="0" y="0"/>
                      <a:ext cx="5019675" cy="7077075"/>
                    </a:xfrm>
                    <a:prstGeom prst="rect">
                      <a:avLst/>
                    </a:prstGeom>
                    <a:noFill/>
                    <a:ln>
                      <a:noFill/>
                    </a:ln>
                  </pic:spPr>
                </pic:pic>
              </a:graphicData>
            </a:graphic>
          </wp:inline>
        </w:drawing>
      </w:r>
      <w:r>
        <w:drawing>
          <wp:inline distT="0" distB="0" distL="114300" distR="114300">
            <wp:extent cx="4991100" cy="6905625"/>
            <wp:effectExtent l="0" t="0" r="0" b="9525"/>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57"/>
                    <a:stretch>
                      <a:fillRect/>
                    </a:stretch>
                  </pic:blipFill>
                  <pic:spPr>
                    <a:xfrm>
                      <a:off x="0" y="0"/>
                      <a:ext cx="4991100" cy="6905625"/>
                    </a:xfrm>
                    <a:prstGeom prst="rect">
                      <a:avLst/>
                    </a:prstGeom>
                    <a:noFill/>
                    <a:ln>
                      <a:noFill/>
                    </a:ln>
                  </pic:spPr>
                </pic:pic>
              </a:graphicData>
            </a:graphic>
          </wp:inline>
        </w:drawing>
      </w:r>
      <w:r>
        <w:drawing>
          <wp:inline distT="0" distB="0" distL="114300" distR="114300">
            <wp:extent cx="4943475" cy="7048500"/>
            <wp:effectExtent l="0" t="0" r="9525" b="0"/>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58"/>
                    <a:stretch>
                      <a:fillRect/>
                    </a:stretch>
                  </pic:blipFill>
                  <pic:spPr>
                    <a:xfrm>
                      <a:off x="0" y="0"/>
                      <a:ext cx="4943475" cy="7048500"/>
                    </a:xfrm>
                    <a:prstGeom prst="rect">
                      <a:avLst/>
                    </a:prstGeom>
                    <a:noFill/>
                    <a:ln>
                      <a:noFill/>
                    </a:ln>
                  </pic:spPr>
                </pic:pic>
              </a:graphicData>
            </a:graphic>
          </wp:inline>
        </w:drawing>
      </w:r>
      <w:r>
        <w:drawing>
          <wp:inline distT="0" distB="0" distL="114300" distR="114300">
            <wp:extent cx="4981575" cy="6753225"/>
            <wp:effectExtent l="0" t="0" r="9525" b="9525"/>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pic:cNvPicPr>
                      <a:picLocks noChangeAspect="1"/>
                    </pic:cNvPicPr>
                  </pic:nvPicPr>
                  <pic:blipFill>
                    <a:blip r:embed="rId59"/>
                    <a:stretch>
                      <a:fillRect/>
                    </a:stretch>
                  </pic:blipFill>
                  <pic:spPr>
                    <a:xfrm>
                      <a:off x="0" y="0"/>
                      <a:ext cx="4981575" cy="6753225"/>
                    </a:xfrm>
                    <a:prstGeom prst="rect">
                      <a:avLst/>
                    </a:prstGeom>
                    <a:noFill/>
                    <a:ln>
                      <a:noFill/>
                    </a:ln>
                  </pic:spPr>
                </pic:pic>
              </a:graphicData>
            </a:graphic>
          </wp:inline>
        </w:drawing>
      </w:r>
      <w:r>
        <w:drawing>
          <wp:inline distT="0" distB="0" distL="114300" distR="114300">
            <wp:extent cx="4991100" cy="6848475"/>
            <wp:effectExtent l="0" t="0" r="0" b="9525"/>
            <wp:docPr id="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6"/>
                    <pic:cNvPicPr>
                      <a:picLocks noChangeAspect="1"/>
                    </pic:cNvPicPr>
                  </pic:nvPicPr>
                  <pic:blipFill>
                    <a:blip r:embed="rId60"/>
                    <a:stretch>
                      <a:fillRect/>
                    </a:stretch>
                  </pic:blipFill>
                  <pic:spPr>
                    <a:xfrm>
                      <a:off x="0" y="0"/>
                      <a:ext cx="4991100" cy="6848475"/>
                    </a:xfrm>
                    <a:prstGeom prst="rect">
                      <a:avLst/>
                    </a:prstGeom>
                    <a:noFill/>
                    <a:ln>
                      <a:noFill/>
                    </a:ln>
                  </pic:spPr>
                </pic:pic>
              </a:graphicData>
            </a:graphic>
          </wp:inline>
        </w:drawing>
      </w:r>
      <w:r>
        <w:drawing>
          <wp:inline distT="0" distB="0" distL="114300" distR="114300">
            <wp:extent cx="5029200" cy="6915150"/>
            <wp:effectExtent l="0" t="0" r="0" b="0"/>
            <wp:docPr id="7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7"/>
                    <pic:cNvPicPr>
                      <a:picLocks noChangeAspect="1"/>
                    </pic:cNvPicPr>
                  </pic:nvPicPr>
                  <pic:blipFill>
                    <a:blip r:embed="rId61"/>
                    <a:stretch>
                      <a:fillRect/>
                    </a:stretch>
                  </pic:blipFill>
                  <pic:spPr>
                    <a:xfrm>
                      <a:off x="0" y="0"/>
                      <a:ext cx="5029200" cy="6915150"/>
                    </a:xfrm>
                    <a:prstGeom prst="rect">
                      <a:avLst/>
                    </a:prstGeom>
                    <a:noFill/>
                    <a:ln>
                      <a:noFill/>
                    </a:ln>
                  </pic:spPr>
                </pic:pic>
              </a:graphicData>
            </a:graphic>
          </wp:inline>
        </w:drawing>
      </w:r>
      <w:r>
        <w:drawing>
          <wp:inline distT="0" distB="0" distL="114300" distR="114300">
            <wp:extent cx="4895850" cy="6905625"/>
            <wp:effectExtent l="0" t="0" r="0" b="9525"/>
            <wp:docPr id="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8"/>
                    <pic:cNvPicPr>
                      <a:picLocks noChangeAspect="1"/>
                    </pic:cNvPicPr>
                  </pic:nvPicPr>
                  <pic:blipFill>
                    <a:blip r:embed="rId62"/>
                    <a:stretch>
                      <a:fillRect/>
                    </a:stretch>
                  </pic:blipFill>
                  <pic:spPr>
                    <a:xfrm>
                      <a:off x="0" y="0"/>
                      <a:ext cx="4895850" cy="6905625"/>
                    </a:xfrm>
                    <a:prstGeom prst="rect">
                      <a:avLst/>
                    </a:prstGeom>
                    <a:noFill/>
                    <a:ln>
                      <a:noFill/>
                    </a:ln>
                  </pic:spPr>
                </pic:pic>
              </a:graphicData>
            </a:graphic>
          </wp:inline>
        </w:drawing>
      </w:r>
      <w:r>
        <w:drawing>
          <wp:inline distT="0" distB="0" distL="114300" distR="114300">
            <wp:extent cx="4991100" cy="7086600"/>
            <wp:effectExtent l="0" t="0" r="0" b="0"/>
            <wp:docPr id="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9"/>
                    <pic:cNvPicPr>
                      <a:picLocks noChangeAspect="1"/>
                    </pic:cNvPicPr>
                  </pic:nvPicPr>
                  <pic:blipFill>
                    <a:blip r:embed="rId63"/>
                    <a:stretch>
                      <a:fillRect/>
                    </a:stretch>
                  </pic:blipFill>
                  <pic:spPr>
                    <a:xfrm>
                      <a:off x="0" y="0"/>
                      <a:ext cx="4991100" cy="7086600"/>
                    </a:xfrm>
                    <a:prstGeom prst="rect">
                      <a:avLst/>
                    </a:prstGeom>
                    <a:noFill/>
                    <a:ln>
                      <a:noFill/>
                    </a:ln>
                  </pic:spPr>
                </pic:pic>
              </a:graphicData>
            </a:graphic>
          </wp:inline>
        </w:drawing>
      </w:r>
      <w:r>
        <w:drawing>
          <wp:inline distT="0" distB="0" distL="114300" distR="114300">
            <wp:extent cx="4981575" cy="6762750"/>
            <wp:effectExtent l="0" t="0" r="9525" b="0"/>
            <wp:docPr id="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0"/>
                    <pic:cNvPicPr>
                      <a:picLocks noChangeAspect="1"/>
                    </pic:cNvPicPr>
                  </pic:nvPicPr>
                  <pic:blipFill>
                    <a:blip r:embed="rId64"/>
                    <a:stretch>
                      <a:fillRect/>
                    </a:stretch>
                  </pic:blipFill>
                  <pic:spPr>
                    <a:xfrm>
                      <a:off x="0" y="0"/>
                      <a:ext cx="4981575" cy="6762750"/>
                    </a:xfrm>
                    <a:prstGeom prst="rect">
                      <a:avLst/>
                    </a:prstGeom>
                    <a:noFill/>
                    <a:ln>
                      <a:noFill/>
                    </a:ln>
                  </pic:spPr>
                </pic:pic>
              </a:graphicData>
            </a:graphic>
          </wp:inline>
        </w:drawing>
      </w:r>
      <w:r>
        <w:drawing>
          <wp:inline distT="0" distB="0" distL="114300" distR="114300">
            <wp:extent cx="4943475" cy="7058025"/>
            <wp:effectExtent l="0" t="0" r="9525" b="9525"/>
            <wp:docPr id="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
                    <pic:cNvPicPr>
                      <a:picLocks noChangeAspect="1"/>
                    </pic:cNvPicPr>
                  </pic:nvPicPr>
                  <pic:blipFill>
                    <a:blip r:embed="rId65"/>
                    <a:stretch>
                      <a:fillRect/>
                    </a:stretch>
                  </pic:blipFill>
                  <pic:spPr>
                    <a:xfrm>
                      <a:off x="0" y="0"/>
                      <a:ext cx="4943475" cy="7058025"/>
                    </a:xfrm>
                    <a:prstGeom prst="rect">
                      <a:avLst/>
                    </a:prstGeom>
                    <a:noFill/>
                    <a:ln>
                      <a:noFill/>
                    </a:ln>
                  </pic:spPr>
                </pic:pic>
              </a:graphicData>
            </a:graphic>
          </wp:inline>
        </w:drawing>
      </w:r>
      <w:r>
        <w:drawing>
          <wp:inline distT="0" distB="0" distL="114300" distR="114300">
            <wp:extent cx="5057775" cy="6972300"/>
            <wp:effectExtent l="0" t="0" r="9525" b="0"/>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66"/>
                    <a:stretch>
                      <a:fillRect/>
                    </a:stretch>
                  </pic:blipFill>
                  <pic:spPr>
                    <a:xfrm>
                      <a:off x="0" y="0"/>
                      <a:ext cx="5057775" cy="6972300"/>
                    </a:xfrm>
                    <a:prstGeom prst="rect">
                      <a:avLst/>
                    </a:prstGeom>
                    <a:noFill/>
                    <a:ln>
                      <a:noFill/>
                    </a:ln>
                  </pic:spPr>
                </pic:pic>
              </a:graphicData>
            </a:graphic>
          </wp:inline>
        </w:drawing>
      </w:r>
      <w:r>
        <w:drawing>
          <wp:inline distT="0" distB="0" distL="114300" distR="114300">
            <wp:extent cx="5029200" cy="6943725"/>
            <wp:effectExtent l="0" t="0" r="0" b="9525"/>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67"/>
                    <a:stretch>
                      <a:fillRect/>
                    </a:stretch>
                  </pic:blipFill>
                  <pic:spPr>
                    <a:xfrm>
                      <a:off x="0" y="0"/>
                      <a:ext cx="5029200" cy="6943725"/>
                    </a:xfrm>
                    <a:prstGeom prst="rect">
                      <a:avLst/>
                    </a:prstGeom>
                    <a:noFill/>
                    <a:ln>
                      <a:noFill/>
                    </a:ln>
                  </pic:spPr>
                </pic:pic>
              </a:graphicData>
            </a:graphic>
          </wp:inline>
        </w:drawing>
      </w:r>
      <w:r>
        <w:drawing>
          <wp:inline distT="0" distB="0" distL="114300" distR="114300">
            <wp:extent cx="4953000" cy="6962775"/>
            <wp:effectExtent l="0" t="0" r="0" b="9525"/>
            <wp:docPr id="7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4"/>
                    <pic:cNvPicPr>
                      <a:picLocks noChangeAspect="1"/>
                    </pic:cNvPicPr>
                  </pic:nvPicPr>
                  <pic:blipFill>
                    <a:blip r:embed="rId68"/>
                    <a:stretch>
                      <a:fillRect/>
                    </a:stretch>
                  </pic:blipFill>
                  <pic:spPr>
                    <a:xfrm>
                      <a:off x="0" y="0"/>
                      <a:ext cx="4953000" cy="6962775"/>
                    </a:xfrm>
                    <a:prstGeom prst="rect">
                      <a:avLst/>
                    </a:prstGeom>
                    <a:noFill/>
                    <a:ln>
                      <a:noFill/>
                    </a:ln>
                  </pic:spPr>
                </pic:pic>
              </a:graphicData>
            </a:graphic>
          </wp:inline>
        </w:drawing>
      </w:r>
      <w:r>
        <w:drawing>
          <wp:inline distT="0" distB="0" distL="114300" distR="114300">
            <wp:extent cx="5029200" cy="6886575"/>
            <wp:effectExtent l="0" t="0" r="0" b="9525"/>
            <wp:docPr id="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5"/>
                    <pic:cNvPicPr>
                      <a:picLocks noChangeAspect="1"/>
                    </pic:cNvPicPr>
                  </pic:nvPicPr>
                  <pic:blipFill>
                    <a:blip r:embed="rId69"/>
                    <a:stretch>
                      <a:fillRect/>
                    </a:stretch>
                  </pic:blipFill>
                  <pic:spPr>
                    <a:xfrm>
                      <a:off x="0" y="0"/>
                      <a:ext cx="5029200" cy="6886575"/>
                    </a:xfrm>
                    <a:prstGeom prst="rect">
                      <a:avLst/>
                    </a:prstGeom>
                    <a:noFill/>
                    <a:ln>
                      <a:noFill/>
                    </a:ln>
                  </pic:spPr>
                </pic:pic>
              </a:graphicData>
            </a:graphic>
          </wp:inline>
        </w:drawing>
      </w:r>
      <w:r>
        <w:drawing>
          <wp:inline distT="0" distB="0" distL="114300" distR="114300">
            <wp:extent cx="4962525" cy="7038975"/>
            <wp:effectExtent l="0" t="0" r="9525" b="9525"/>
            <wp:docPr id="8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6"/>
                    <pic:cNvPicPr>
                      <a:picLocks noChangeAspect="1"/>
                    </pic:cNvPicPr>
                  </pic:nvPicPr>
                  <pic:blipFill>
                    <a:blip r:embed="rId70"/>
                    <a:stretch>
                      <a:fillRect/>
                    </a:stretch>
                  </pic:blipFill>
                  <pic:spPr>
                    <a:xfrm>
                      <a:off x="0" y="0"/>
                      <a:ext cx="4962525" cy="7038975"/>
                    </a:xfrm>
                    <a:prstGeom prst="rect">
                      <a:avLst/>
                    </a:prstGeom>
                    <a:noFill/>
                    <a:ln>
                      <a:noFill/>
                    </a:ln>
                  </pic:spPr>
                </pic:pic>
              </a:graphicData>
            </a:graphic>
          </wp:inline>
        </w:drawing>
      </w:r>
      <w:r>
        <w:drawing>
          <wp:inline distT="0" distB="0" distL="114300" distR="114300">
            <wp:extent cx="4867275" cy="6743700"/>
            <wp:effectExtent l="0" t="0" r="9525" b="0"/>
            <wp:docPr id="8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7"/>
                    <pic:cNvPicPr>
                      <a:picLocks noChangeAspect="1"/>
                    </pic:cNvPicPr>
                  </pic:nvPicPr>
                  <pic:blipFill>
                    <a:blip r:embed="rId71"/>
                    <a:stretch>
                      <a:fillRect/>
                    </a:stretch>
                  </pic:blipFill>
                  <pic:spPr>
                    <a:xfrm>
                      <a:off x="0" y="0"/>
                      <a:ext cx="4867275" cy="6743700"/>
                    </a:xfrm>
                    <a:prstGeom prst="rect">
                      <a:avLst/>
                    </a:prstGeom>
                    <a:noFill/>
                    <a:ln>
                      <a:noFill/>
                    </a:ln>
                  </pic:spPr>
                </pic:pic>
              </a:graphicData>
            </a:graphic>
          </wp:inline>
        </w:drawing>
      </w:r>
      <w:r>
        <w:drawing>
          <wp:inline distT="0" distB="0" distL="114300" distR="114300">
            <wp:extent cx="4924425" cy="6886575"/>
            <wp:effectExtent l="0" t="0" r="9525" b="9525"/>
            <wp:docPr id="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8"/>
                    <pic:cNvPicPr>
                      <a:picLocks noChangeAspect="1"/>
                    </pic:cNvPicPr>
                  </pic:nvPicPr>
                  <pic:blipFill>
                    <a:blip r:embed="rId72"/>
                    <a:stretch>
                      <a:fillRect/>
                    </a:stretch>
                  </pic:blipFill>
                  <pic:spPr>
                    <a:xfrm>
                      <a:off x="0" y="0"/>
                      <a:ext cx="4924425" cy="6886575"/>
                    </a:xfrm>
                    <a:prstGeom prst="rect">
                      <a:avLst/>
                    </a:prstGeom>
                    <a:noFill/>
                    <a:ln>
                      <a:noFill/>
                    </a:ln>
                  </pic:spPr>
                </pic:pic>
              </a:graphicData>
            </a:graphic>
          </wp:inline>
        </w:drawing>
      </w:r>
      <w:r>
        <w:drawing>
          <wp:inline distT="0" distB="0" distL="114300" distR="114300">
            <wp:extent cx="4981575" cy="7048500"/>
            <wp:effectExtent l="0" t="0" r="9525" b="0"/>
            <wp:docPr id="8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9"/>
                    <pic:cNvPicPr>
                      <a:picLocks noChangeAspect="1"/>
                    </pic:cNvPicPr>
                  </pic:nvPicPr>
                  <pic:blipFill>
                    <a:blip r:embed="rId73"/>
                    <a:stretch>
                      <a:fillRect/>
                    </a:stretch>
                  </pic:blipFill>
                  <pic:spPr>
                    <a:xfrm>
                      <a:off x="0" y="0"/>
                      <a:ext cx="4981575" cy="70485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eastAsia"/>
          <w:lang w:val="en-US" w:eastAsia="zh-CN"/>
        </w:rPr>
      </w:pPr>
      <w:bookmarkStart w:id="98" w:name="_Toc24734"/>
      <w:r>
        <w:rPr>
          <w:rFonts w:hint="eastAsia"/>
          <w:lang w:val="en-US" w:eastAsia="zh-CN"/>
        </w:rPr>
        <w:t>附件四：验收意见</w:t>
      </w:r>
      <w:bookmarkEnd w:id="9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default"/>
          <w:lang w:val="en-US" w:eastAsia="zh-CN"/>
        </w:rPr>
      </w:pPr>
      <w:r>
        <w:drawing>
          <wp:inline distT="0" distB="0" distL="114300" distR="114300">
            <wp:extent cx="4562475" cy="6562725"/>
            <wp:effectExtent l="0" t="0" r="9525" b="952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74"/>
                    <a:stretch>
                      <a:fillRect/>
                    </a:stretch>
                  </pic:blipFill>
                  <pic:spPr>
                    <a:xfrm>
                      <a:off x="0" y="0"/>
                      <a:ext cx="4562475" cy="6562725"/>
                    </a:xfrm>
                    <a:prstGeom prst="rect">
                      <a:avLst/>
                    </a:prstGeom>
                    <a:noFill/>
                    <a:ln>
                      <a:noFill/>
                    </a:ln>
                  </pic:spPr>
                </pic:pic>
              </a:graphicData>
            </a:graphic>
          </wp:inline>
        </w:drawing>
      </w:r>
      <w:r>
        <w:drawing>
          <wp:inline distT="0" distB="0" distL="114300" distR="114300">
            <wp:extent cx="4800600" cy="7143750"/>
            <wp:effectExtent l="0" t="0" r="0" b="0"/>
            <wp:docPr id="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pic:cNvPicPr>
                      <a:picLocks noChangeAspect="1"/>
                    </pic:cNvPicPr>
                  </pic:nvPicPr>
                  <pic:blipFill>
                    <a:blip r:embed="rId75"/>
                    <a:stretch>
                      <a:fillRect/>
                    </a:stretch>
                  </pic:blipFill>
                  <pic:spPr>
                    <a:xfrm>
                      <a:off x="0" y="0"/>
                      <a:ext cx="4800600" cy="7143750"/>
                    </a:xfrm>
                    <a:prstGeom prst="rect">
                      <a:avLst/>
                    </a:prstGeom>
                    <a:noFill/>
                    <a:ln>
                      <a:noFill/>
                    </a:ln>
                  </pic:spPr>
                </pic:pic>
              </a:graphicData>
            </a:graphic>
          </wp:inline>
        </w:drawing>
      </w:r>
      <w:r>
        <w:drawing>
          <wp:inline distT="0" distB="0" distL="114300" distR="114300">
            <wp:extent cx="4276725" cy="6419850"/>
            <wp:effectExtent l="0" t="0" r="9525" b="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76"/>
                    <a:stretch>
                      <a:fillRect/>
                    </a:stretch>
                  </pic:blipFill>
                  <pic:spPr>
                    <a:xfrm>
                      <a:off x="0" y="0"/>
                      <a:ext cx="4276725" cy="6419850"/>
                    </a:xfrm>
                    <a:prstGeom prst="rect">
                      <a:avLst/>
                    </a:prstGeom>
                    <a:noFill/>
                    <a:ln>
                      <a:noFill/>
                    </a:ln>
                  </pic:spPr>
                </pic:pic>
              </a:graphicData>
            </a:graphic>
          </wp:inline>
        </w:drawing>
      </w:r>
      <w:r>
        <w:drawing>
          <wp:inline distT="0" distB="0" distL="114300" distR="114300">
            <wp:extent cx="5268595" cy="5681345"/>
            <wp:effectExtent l="0" t="0" r="8255" b="14605"/>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77"/>
                    <a:stretch>
                      <a:fillRect/>
                    </a:stretch>
                  </pic:blipFill>
                  <pic:spPr>
                    <a:xfrm>
                      <a:off x="0" y="0"/>
                      <a:ext cx="5268595" cy="5681345"/>
                    </a:xfrm>
                    <a:prstGeom prst="rect">
                      <a:avLst/>
                    </a:prstGeom>
                    <a:noFill/>
                    <a:ln>
                      <a:noFill/>
                    </a:ln>
                  </pic:spPr>
                </pic:pic>
              </a:graphicData>
            </a:graphic>
          </wp:inline>
        </w:drawing>
      </w:r>
    </w:p>
    <w:sectPr>
      <w:pgSz w:w="11906" w:h="16838"/>
      <w:pgMar w:top="1440" w:right="1800" w:bottom="1440" w:left="1800" w:header="850"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00"/>
    <w:family w:val="auto"/>
    <w:pitch w:val="default"/>
    <w:sig w:usb0="E00002FF" w:usb1="4000ACFF" w:usb2="00000001" w:usb3="00000000" w:csb0="2000019F" w:csb1="00000000"/>
  </w:font>
  <w:font w:name="MingLiU">
    <w:panose1 w:val="02020509000000000000"/>
    <w:charset w:val="88"/>
    <w:family w:val="auto"/>
    <w:pitch w:val="default"/>
    <w:sig w:usb0="A00002FF" w:usb1="28CFFCFA" w:usb2="00000016" w:usb3="00000000" w:csb0="0010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6</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5"/>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6</w:t>
                    </w:r>
                    <w:r>
                      <w:rPr>
                        <w:rFonts w:hint="eastAsia"/>
                        <w:lang w:eastAsia="zh-CN"/>
                      </w:rPr>
                      <w:fldChar w:fldCharType="end"/>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single" w:color="auto" w:sz="4" w:space="1"/>
      </w:pBdr>
      <w:jc w:val="center"/>
    </w:pPr>
    <w:r>
      <w:rPr>
        <w:rFonts w:hint="eastAsia" w:ascii="Times New Roman" w:hAnsi="Times New Roman" w:eastAsia="宋体" w:cs="Times New Roman"/>
        <w:sz w:val="18"/>
        <w:szCs w:val="18"/>
        <w:lang w:val="en-US" w:eastAsia="zh-CN"/>
      </w:rPr>
      <w:t>贵阳高新技术产业经济带沙文生态科技产业园麦沙大道道路工程竣工环境保护验收调查报告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8B31472"/>
    <w:multiLevelType w:val="singleLevel"/>
    <w:tmpl w:val="88B31472"/>
    <w:lvl w:ilvl="0" w:tentative="0">
      <w:start w:val="1"/>
      <w:numFmt w:val="decimal"/>
      <w:suff w:val="nothing"/>
      <w:lvlText w:val="（%1）"/>
      <w:lvlJc w:val="left"/>
    </w:lvl>
  </w:abstractNum>
  <w:abstractNum w:abstractNumId="1">
    <w:nsid w:val="8D4A2BC7"/>
    <w:multiLevelType w:val="singleLevel"/>
    <w:tmpl w:val="8D4A2BC7"/>
    <w:lvl w:ilvl="0" w:tentative="0">
      <w:start w:val="1"/>
      <w:numFmt w:val="decimal"/>
      <w:suff w:val="nothing"/>
      <w:lvlText w:val="%1、"/>
      <w:lvlJc w:val="left"/>
    </w:lvl>
  </w:abstractNum>
  <w:abstractNum w:abstractNumId="2">
    <w:nsid w:val="977FCFCB"/>
    <w:multiLevelType w:val="singleLevel"/>
    <w:tmpl w:val="977FCFCB"/>
    <w:lvl w:ilvl="0" w:tentative="0">
      <w:start w:val="1"/>
      <w:numFmt w:val="decimal"/>
      <w:suff w:val="nothing"/>
      <w:lvlText w:val="（%1）"/>
      <w:lvlJc w:val="left"/>
    </w:lvl>
  </w:abstractNum>
  <w:abstractNum w:abstractNumId="3">
    <w:nsid w:val="98AE81B4"/>
    <w:multiLevelType w:val="singleLevel"/>
    <w:tmpl w:val="98AE81B4"/>
    <w:lvl w:ilvl="0" w:tentative="0">
      <w:start w:val="1"/>
      <w:numFmt w:val="decimal"/>
      <w:suff w:val="nothing"/>
      <w:lvlText w:val="%1、"/>
      <w:lvlJc w:val="left"/>
    </w:lvl>
  </w:abstractNum>
  <w:abstractNum w:abstractNumId="4">
    <w:nsid w:val="A6C971F2"/>
    <w:multiLevelType w:val="singleLevel"/>
    <w:tmpl w:val="A6C971F2"/>
    <w:lvl w:ilvl="0" w:tentative="0">
      <w:start w:val="1"/>
      <w:numFmt w:val="decimal"/>
      <w:suff w:val="nothing"/>
      <w:lvlText w:val="（%1）"/>
      <w:lvlJc w:val="left"/>
    </w:lvl>
  </w:abstractNum>
  <w:abstractNum w:abstractNumId="5">
    <w:nsid w:val="AC5AE45F"/>
    <w:multiLevelType w:val="singleLevel"/>
    <w:tmpl w:val="AC5AE45F"/>
    <w:lvl w:ilvl="0" w:tentative="0">
      <w:start w:val="1"/>
      <w:numFmt w:val="decimal"/>
      <w:suff w:val="nothing"/>
      <w:lvlText w:val="%1、"/>
      <w:lvlJc w:val="left"/>
    </w:lvl>
  </w:abstractNum>
  <w:abstractNum w:abstractNumId="6">
    <w:nsid w:val="B6D4ABFD"/>
    <w:multiLevelType w:val="singleLevel"/>
    <w:tmpl w:val="B6D4ABFD"/>
    <w:lvl w:ilvl="0" w:tentative="0">
      <w:start w:val="1"/>
      <w:numFmt w:val="decimal"/>
      <w:suff w:val="nothing"/>
      <w:lvlText w:val="（%1）"/>
      <w:lvlJc w:val="left"/>
    </w:lvl>
  </w:abstractNum>
  <w:abstractNum w:abstractNumId="7">
    <w:nsid w:val="BC2ED5BA"/>
    <w:multiLevelType w:val="singleLevel"/>
    <w:tmpl w:val="BC2ED5BA"/>
    <w:lvl w:ilvl="0" w:tentative="0">
      <w:start w:val="1"/>
      <w:numFmt w:val="decimal"/>
      <w:suff w:val="nothing"/>
      <w:lvlText w:val="（%1）"/>
      <w:lvlJc w:val="left"/>
    </w:lvl>
  </w:abstractNum>
  <w:abstractNum w:abstractNumId="8">
    <w:nsid w:val="C657720C"/>
    <w:multiLevelType w:val="singleLevel"/>
    <w:tmpl w:val="C657720C"/>
    <w:lvl w:ilvl="0" w:tentative="0">
      <w:start w:val="1"/>
      <w:numFmt w:val="decimal"/>
      <w:suff w:val="nothing"/>
      <w:lvlText w:val="（%1）"/>
      <w:lvlJc w:val="left"/>
    </w:lvl>
  </w:abstractNum>
  <w:abstractNum w:abstractNumId="9">
    <w:nsid w:val="CEAEDB9D"/>
    <w:multiLevelType w:val="singleLevel"/>
    <w:tmpl w:val="CEAEDB9D"/>
    <w:lvl w:ilvl="0" w:tentative="0">
      <w:start w:val="1"/>
      <w:numFmt w:val="decimal"/>
      <w:suff w:val="nothing"/>
      <w:lvlText w:val="（%1）"/>
      <w:lvlJc w:val="left"/>
    </w:lvl>
  </w:abstractNum>
  <w:abstractNum w:abstractNumId="10">
    <w:nsid w:val="D4F32723"/>
    <w:multiLevelType w:val="singleLevel"/>
    <w:tmpl w:val="D4F32723"/>
    <w:lvl w:ilvl="0" w:tentative="0">
      <w:start w:val="1"/>
      <w:numFmt w:val="decimal"/>
      <w:suff w:val="nothing"/>
      <w:lvlText w:val="（%1）"/>
      <w:lvlJc w:val="left"/>
    </w:lvl>
  </w:abstractNum>
  <w:abstractNum w:abstractNumId="11">
    <w:nsid w:val="D85C04E6"/>
    <w:multiLevelType w:val="singleLevel"/>
    <w:tmpl w:val="D85C04E6"/>
    <w:lvl w:ilvl="0" w:tentative="0">
      <w:start w:val="1"/>
      <w:numFmt w:val="decimal"/>
      <w:suff w:val="nothing"/>
      <w:lvlText w:val="（%1）"/>
      <w:lvlJc w:val="left"/>
    </w:lvl>
  </w:abstractNum>
  <w:abstractNum w:abstractNumId="12">
    <w:nsid w:val="D954F3EC"/>
    <w:multiLevelType w:val="singleLevel"/>
    <w:tmpl w:val="D954F3EC"/>
    <w:lvl w:ilvl="0" w:tentative="0">
      <w:start w:val="1"/>
      <w:numFmt w:val="decimal"/>
      <w:suff w:val="nothing"/>
      <w:lvlText w:val="（%1）"/>
      <w:lvlJc w:val="left"/>
    </w:lvl>
  </w:abstractNum>
  <w:abstractNum w:abstractNumId="13">
    <w:nsid w:val="DCEE3E4B"/>
    <w:multiLevelType w:val="singleLevel"/>
    <w:tmpl w:val="DCEE3E4B"/>
    <w:lvl w:ilvl="0" w:tentative="0">
      <w:start w:val="1"/>
      <w:numFmt w:val="decimal"/>
      <w:suff w:val="nothing"/>
      <w:lvlText w:val="（%1）"/>
      <w:lvlJc w:val="left"/>
    </w:lvl>
  </w:abstractNum>
  <w:abstractNum w:abstractNumId="14">
    <w:nsid w:val="E678323E"/>
    <w:multiLevelType w:val="singleLevel"/>
    <w:tmpl w:val="E678323E"/>
    <w:lvl w:ilvl="0" w:tentative="0">
      <w:start w:val="1"/>
      <w:numFmt w:val="decimal"/>
      <w:suff w:val="nothing"/>
      <w:lvlText w:val="（%1）"/>
      <w:lvlJc w:val="left"/>
    </w:lvl>
  </w:abstractNum>
  <w:abstractNum w:abstractNumId="15">
    <w:nsid w:val="E7839E30"/>
    <w:multiLevelType w:val="singleLevel"/>
    <w:tmpl w:val="E7839E30"/>
    <w:lvl w:ilvl="0" w:tentative="0">
      <w:start w:val="1"/>
      <w:numFmt w:val="decimal"/>
      <w:suff w:val="nothing"/>
      <w:lvlText w:val="（%1）"/>
      <w:lvlJc w:val="left"/>
    </w:lvl>
  </w:abstractNum>
  <w:abstractNum w:abstractNumId="16">
    <w:nsid w:val="EEDA5947"/>
    <w:multiLevelType w:val="singleLevel"/>
    <w:tmpl w:val="EEDA5947"/>
    <w:lvl w:ilvl="0" w:tentative="0">
      <w:start w:val="1"/>
      <w:numFmt w:val="decimal"/>
      <w:suff w:val="nothing"/>
      <w:lvlText w:val="（%1）"/>
      <w:lvlJc w:val="left"/>
    </w:lvl>
  </w:abstractNum>
  <w:abstractNum w:abstractNumId="17">
    <w:nsid w:val="F2C94420"/>
    <w:multiLevelType w:val="singleLevel"/>
    <w:tmpl w:val="F2C94420"/>
    <w:lvl w:ilvl="0" w:tentative="0">
      <w:start w:val="1"/>
      <w:numFmt w:val="decimal"/>
      <w:suff w:val="nothing"/>
      <w:lvlText w:val="（%1）"/>
      <w:lvlJc w:val="left"/>
    </w:lvl>
  </w:abstractNum>
  <w:abstractNum w:abstractNumId="18">
    <w:nsid w:val="01696CC6"/>
    <w:multiLevelType w:val="singleLevel"/>
    <w:tmpl w:val="01696CC6"/>
    <w:lvl w:ilvl="0" w:tentative="0">
      <w:start w:val="1"/>
      <w:numFmt w:val="decimal"/>
      <w:suff w:val="nothing"/>
      <w:lvlText w:val="（%1）"/>
      <w:lvlJc w:val="left"/>
    </w:lvl>
  </w:abstractNum>
  <w:abstractNum w:abstractNumId="19">
    <w:nsid w:val="02461E7D"/>
    <w:multiLevelType w:val="singleLevel"/>
    <w:tmpl w:val="02461E7D"/>
    <w:lvl w:ilvl="0" w:tentative="0">
      <w:start w:val="1"/>
      <w:numFmt w:val="decimal"/>
      <w:suff w:val="nothing"/>
      <w:lvlText w:val="（%1）"/>
      <w:lvlJc w:val="left"/>
    </w:lvl>
  </w:abstractNum>
  <w:abstractNum w:abstractNumId="20">
    <w:nsid w:val="038AA07A"/>
    <w:multiLevelType w:val="singleLevel"/>
    <w:tmpl w:val="038AA07A"/>
    <w:lvl w:ilvl="0" w:tentative="0">
      <w:start w:val="1"/>
      <w:numFmt w:val="decimal"/>
      <w:suff w:val="nothing"/>
      <w:lvlText w:val="（%1）"/>
      <w:lvlJc w:val="left"/>
    </w:lvl>
  </w:abstractNum>
  <w:abstractNum w:abstractNumId="21">
    <w:nsid w:val="072E998B"/>
    <w:multiLevelType w:val="singleLevel"/>
    <w:tmpl w:val="072E998B"/>
    <w:lvl w:ilvl="0" w:tentative="0">
      <w:start w:val="1"/>
      <w:numFmt w:val="decimal"/>
      <w:suff w:val="nothing"/>
      <w:lvlText w:val="（%1）"/>
      <w:lvlJc w:val="left"/>
    </w:lvl>
  </w:abstractNum>
  <w:abstractNum w:abstractNumId="22">
    <w:nsid w:val="0FF0F667"/>
    <w:multiLevelType w:val="singleLevel"/>
    <w:tmpl w:val="0FF0F667"/>
    <w:lvl w:ilvl="0" w:tentative="0">
      <w:start w:val="1"/>
      <w:numFmt w:val="decimal"/>
      <w:suff w:val="nothing"/>
      <w:lvlText w:val="（%1）"/>
      <w:lvlJc w:val="left"/>
    </w:lvl>
  </w:abstractNum>
  <w:abstractNum w:abstractNumId="23">
    <w:nsid w:val="1C734FDC"/>
    <w:multiLevelType w:val="singleLevel"/>
    <w:tmpl w:val="1C734FDC"/>
    <w:lvl w:ilvl="0" w:tentative="0">
      <w:start w:val="1"/>
      <w:numFmt w:val="decimal"/>
      <w:suff w:val="nothing"/>
      <w:lvlText w:val="（%1）"/>
      <w:lvlJc w:val="left"/>
    </w:lvl>
  </w:abstractNum>
  <w:abstractNum w:abstractNumId="24">
    <w:nsid w:val="24EE6E46"/>
    <w:multiLevelType w:val="singleLevel"/>
    <w:tmpl w:val="24EE6E46"/>
    <w:lvl w:ilvl="0" w:tentative="0">
      <w:start w:val="1"/>
      <w:numFmt w:val="decimal"/>
      <w:suff w:val="nothing"/>
      <w:lvlText w:val="%1、"/>
      <w:lvlJc w:val="left"/>
    </w:lvl>
  </w:abstractNum>
  <w:abstractNum w:abstractNumId="25">
    <w:nsid w:val="320CA59B"/>
    <w:multiLevelType w:val="singleLevel"/>
    <w:tmpl w:val="320CA59B"/>
    <w:lvl w:ilvl="0" w:tentative="0">
      <w:start w:val="1"/>
      <w:numFmt w:val="decimal"/>
      <w:suff w:val="nothing"/>
      <w:lvlText w:val="（%1）"/>
      <w:lvlJc w:val="left"/>
    </w:lvl>
  </w:abstractNum>
  <w:abstractNum w:abstractNumId="26">
    <w:nsid w:val="32DAE29D"/>
    <w:multiLevelType w:val="singleLevel"/>
    <w:tmpl w:val="32DAE29D"/>
    <w:lvl w:ilvl="0" w:tentative="0">
      <w:start w:val="1"/>
      <w:numFmt w:val="decimal"/>
      <w:suff w:val="nothing"/>
      <w:lvlText w:val="（%1）"/>
      <w:lvlJc w:val="left"/>
    </w:lvl>
  </w:abstractNum>
  <w:abstractNum w:abstractNumId="27">
    <w:nsid w:val="3F6D92FD"/>
    <w:multiLevelType w:val="singleLevel"/>
    <w:tmpl w:val="3F6D92FD"/>
    <w:lvl w:ilvl="0" w:tentative="0">
      <w:start w:val="1"/>
      <w:numFmt w:val="decimal"/>
      <w:suff w:val="nothing"/>
      <w:lvlText w:val="（%1）"/>
      <w:lvlJc w:val="left"/>
    </w:lvl>
  </w:abstractNum>
  <w:abstractNum w:abstractNumId="28">
    <w:nsid w:val="4168A59C"/>
    <w:multiLevelType w:val="singleLevel"/>
    <w:tmpl w:val="4168A59C"/>
    <w:lvl w:ilvl="0" w:tentative="0">
      <w:start w:val="1"/>
      <w:numFmt w:val="decimal"/>
      <w:suff w:val="nothing"/>
      <w:lvlText w:val="（%1）"/>
      <w:lvlJc w:val="left"/>
    </w:lvl>
  </w:abstractNum>
  <w:abstractNum w:abstractNumId="29">
    <w:nsid w:val="5AB8C8EF"/>
    <w:multiLevelType w:val="singleLevel"/>
    <w:tmpl w:val="5AB8C8EF"/>
    <w:lvl w:ilvl="0" w:tentative="0">
      <w:start w:val="1"/>
      <w:numFmt w:val="decimal"/>
      <w:suff w:val="nothing"/>
      <w:lvlText w:val="（%1）"/>
      <w:lvlJc w:val="left"/>
    </w:lvl>
  </w:abstractNum>
  <w:abstractNum w:abstractNumId="30">
    <w:nsid w:val="5F348103"/>
    <w:multiLevelType w:val="singleLevel"/>
    <w:tmpl w:val="5F348103"/>
    <w:lvl w:ilvl="0" w:tentative="0">
      <w:start w:val="1"/>
      <w:numFmt w:val="decimal"/>
      <w:suff w:val="nothing"/>
      <w:lvlText w:val="（%1）"/>
      <w:lvlJc w:val="left"/>
    </w:lvl>
  </w:abstractNum>
  <w:num w:numId="1">
    <w:abstractNumId w:val="7"/>
  </w:num>
  <w:num w:numId="2">
    <w:abstractNumId w:val="28"/>
  </w:num>
  <w:num w:numId="3">
    <w:abstractNumId w:val="13"/>
  </w:num>
  <w:num w:numId="4">
    <w:abstractNumId w:val="11"/>
  </w:num>
  <w:num w:numId="5">
    <w:abstractNumId w:val="27"/>
  </w:num>
  <w:num w:numId="6">
    <w:abstractNumId w:val="22"/>
  </w:num>
  <w:num w:numId="7">
    <w:abstractNumId w:val="12"/>
  </w:num>
  <w:num w:numId="8">
    <w:abstractNumId w:val="18"/>
  </w:num>
  <w:num w:numId="9">
    <w:abstractNumId w:val="17"/>
  </w:num>
  <w:num w:numId="10">
    <w:abstractNumId w:val="26"/>
  </w:num>
  <w:num w:numId="11">
    <w:abstractNumId w:val="8"/>
  </w:num>
  <w:num w:numId="12">
    <w:abstractNumId w:val="29"/>
  </w:num>
  <w:num w:numId="13">
    <w:abstractNumId w:val="14"/>
  </w:num>
  <w:num w:numId="14">
    <w:abstractNumId w:val="6"/>
  </w:num>
  <w:num w:numId="15">
    <w:abstractNumId w:val="4"/>
  </w:num>
  <w:num w:numId="16">
    <w:abstractNumId w:val="1"/>
  </w:num>
  <w:num w:numId="17">
    <w:abstractNumId w:val="25"/>
  </w:num>
  <w:num w:numId="18">
    <w:abstractNumId w:val="9"/>
  </w:num>
  <w:num w:numId="19">
    <w:abstractNumId w:val="10"/>
  </w:num>
  <w:num w:numId="20">
    <w:abstractNumId w:val="24"/>
  </w:num>
  <w:num w:numId="21">
    <w:abstractNumId w:val="3"/>
  </w:num>
  <w:num w:numId="22">
    <w:abstractNumId w:val="21"/>
  </w:num>
  <w:num w:numId="23">
    <w:abstractNumId w:val="5"/>
  </w:num>
  <w:num w:numId="24">
    <w:abstractNumId w:val="2"/>
  </w:num>
  <w:num w:numId="25">
    <w:abstractNumId w:val="30"/>
  </w:num>
  <w:num w:numId="26">
    <w:abstractNumId w:val="15"/>
  </w:num>
  <w:num w:numId="27">
    <w:abstractNumId w:val="16"/>
  </w:num>
  <w:num w:numId="28">
    <w:abstractNumId w:val="23"/>
  </w:num>
  <w:num w:numId="29">
    <w:abstractNumId w:val="19"/>
  </w:num>
  <w:num w:numId="30">
    <w:abstractNumId w:val="20"/>
  </w:num>
  <w:num w:numId="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7634D3C"/>
    <w:rsid w:val="08AD32B0"/>
    <w:rsid w:val="0BA443EA"/>
    <w:rsid w:val="0DB012BD"/>
    <w:rsid w:val="0E657CCB"/>
    <w:rsid w:val="124B0BC6"/>
    <w:rsid w:val="17797BC9"/>
    <w:rsid w:val="17C10ED7"/>
    <w:rsid w:val="24D20F98"/>
    <w:rsid w:val="254A619A"/>
    <w:rsid w:val="2A626139"/>
    <w:rsid w:val="2F890CCE"/>
    <w:rsid w:val="32EC6656"/>
    <w:rsid w:val="32EF5CBF"/>
    <w:rsid w:val="36C2737F"/>
    <w:rsid w:val="37634D3C"/>
    <w:rsid w:val="39022A5D"/>
    <w:rsid w:val="3E2077AB"/>
    <w:rsid w:val="3ED527D3"/>
    <w:rsid w:val="451417A1"/>
    <w:rsid w:val="47BF0951"/>
    <w:rsid w:val="484F3B09"/>
    <w:rsid w:val="5014056C"/>
    <w:rsid w:val="5B3648B4"/>
    <w:rsid w:val="6275397A"/>
    <w:rsid w:val="682D30C7"/>
    <w:rsid w:val="719A4603"/>
    <w:rsid w:val="71DD1E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9"/>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3">
    <w:name w:val="Body Text"/>
    <w:basedOn w:val="1"/>
    <w:qFormat/>
    <w:uiPriority w:val="0"/>
    <w:pPr>
      <w:spacing w:after="120" w:afterLines="0" w:afterAutospacing="0"/>
    </w:pPr>
  </w:style>
  <w:style w:type="paragraph" w:styleId="4">
    <w:name w:val="toc 3"/>
    <w:basedOn w:val="1"/>
    <w:next w:val="1"/>
    <w:qFormat/>
    <w:uiPriority w:val="0"/>
    <w:pPr>
      <w:ind w:left="840" w:leftChars="400"/>
    </w:p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qFormat/>
    <w:uiPriority w:val="0"/>
  </w:style>
  <w:style w:type="paragraph" w:styleId="8">
    <w:name w:val="toc 2"/>
    <w:basedOn w:val="1"/>
    <w:next w:val="1"/>
    <w:qFormat/>
    <w:uiPriority w:val="0"/>
    <w:pPr>
      <w:ind w:left="420" w:leftChars="200"/>
    </w:p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WPSOffice手动目录 1"/>
    <w:qFormat/>
    <w:uiPriority w:val="0"/>
    <w:pPr>
      <w:ind w:leftChars="0"/>
    </w:pPr>
    <w:rPr>
      <w:rFonts w:asciiTheme="minorHAnsi" w:hAnsiTheme="minorHAnsi" w:eastAsiaTheme="minorHAnsi" w:cstheme="minorBidi"/>
      <w:sz w:val="20"/>
      <w:szCs w:val="20"/>
    </w:rPr>
  </w:style>
  <w:style w:type="paragraph" w:customStyle="1" w:styleId="13">
    <w:name w:val="WPSOffice手动目录 2"/>
    <w:qFormat/>
    <w:uiPriority w:val="0"/>
    <w:pPr>
      <w:ind w:leftChars="200"/>
    </w:pPr>
    <w:rPr>
      <w:rFonts w:asciiTheme="minorHAnsi" w:hAnsiTheme="minorHAnsi" w:eastAsiaTheme="minorHAnsi" w:cstheme="minorBidi"/>
      <w:sz w:val="20"/>
      <w:szCs w:val="20"/>
    </w:rPr>
  </w:style>
  <w:style w:type="paragraph" w:customStyle="1" w:styleId="14">
    <w:name w:val="WPSOffice手动目录 3"/>
    <w:qFormat/>
    <w:uiPriority w:val="0"/>
    <w:pPr>
      <w:ind w:leftChars="400"/>
    </w:pPr>
    <w:rPr>
      <w:rFonts w:asciiTheme="minorHAnsi" w:hAnsiTheme="minorHAnsi" w:eastAsiaTheme="minorHAnsi" w:cstheme="minorBidi"/>
      <w:sz w:val="20"/>
      <w:szCs w:val="20"/>
    </w:rPr>
  </w:style>
  <w:style w:type="paragraph" w:customStyle="1" w:styleId="15">
    <w:name w:val="Table Paragraph"/>
    <w:basedOn w:val="1"/>
    <w:qFormat/>
    <w:uiPriority w:val="1"/>
    <w:pPr>
      <w:jc w:val="center"/>
    </w:pPr>
    <w:rPr>
      <w:rFonts w:ascii="Times New Roman" w:hAnsi="Times New Roman" w:eastAsia="Times New Roman" w:cs="Times New Roman"/>
      <w:lang w:val="zh-CN" w:eastAsia="zh-CN" w:bidi="zh-CN"/>
    </w:rPr>
  </w:style>
  <w:style w:type="character" w:customStyle="1" w:styleId="16">
    <w:name w:val="font41"/>
    <w:basedOn w:val="11"/>
    <w:qFormat/>
    <w:uiPriority w:val="0"/>
    <w:rPr>
      <w:rFonts w:hint="eastAsia" w:ascii="MingLiU" w:hAnsi="MingLiU" w:eastAsia="MingLiU" w:cs="MingLiU"/>
      <w:color w:val="000000"/>
      <w:sz w:val="22"/>
      <w:szCs w:val="22"/>
      <w:u w:val="none"/>
    </w:rPr>
  </w:style>
  <w:style w:type="character" w:customStyle="1" w:styleId="17">
    <w:name w:val="font31"/>
    <w:basedOn w:val="11"/>
    <w:qFormat/>
    <w:uiPriority w:val="0"/>
    <w:rPr>
      <w:rFonts w:hint="default" w:ascii="Times New Roman" w:hAnsi="Times New Roman" w:cs="Times New Roman"/>
      <w:b/>
      <w:color w:val="000000"/>
      <w:sz w:val="22"/>
      <w:szCs w:val="22"/>
      <w:u w:val="none"/>
    </w:rPr>
  </w:style>
  <w:style w:type="character" w:customStyle="1" w:styleId="18">
    <w:name w:val="font01"/>
    <w:basedOn w:val="11"/>
    <w:qFormat/>
    <w:uiPriority w:val="0"/>
    <w:rPr>
      <w:rFonts w:hint="default" w:ascii="Times New Roman" w:hAnsi="Times New Roman" w:cs="Times New Roman"/>
      <w:color w:val="000000"/>
      <w:sz w:val="24"/>
      <w:szCs w:val="24"/>
      <w:u w:val="none"/>
    </w:rPr>
  </w:style>
  <w:style w:type="character" w:customStyle="1" w:styleId="19">
    <w:name w:val="font21"/>
    <w:basedOn w:val="11"/>
    <w:qFormat/>
    <w:uiPriority w:val="0"/>
    <w:rPr>
      <w:rFonts w:hint="default" w:ascii="Arial" w:hAnsi="Arial" w:cs="Arial"/>
      <w:i/>
      <w:color w:val="000000"/>
      <w:sz w:val="20"/>
      <w:szCs w:val="20"/>
      <w:u w:val="none"/>
    </w:rPr>
  </w:style>
  <w:style w:type="character" w:customStyle="1" w:styleId="20">
    <w:name w:val="font11"/>
    <w:basedOn w:val="11"/>
    <w:qFormat/>
    <w:uiPriority w:val="0"/>
    <w:rPr>
      <w:rFonts w:hint="default" w:ascii="Times New Roman" w:hAnsi="Times New Roman" w:cs="Times New Roman"/>
      <w:b/>
      <w:color w:val="000000"/>
      <w:sz w:val="18"/>
      <w:szCs w:val="18"/>
      <w:u w:val="none"/>
    </w:rPr>
  </w:style>
  <w:style w:type="character" w:customStyle="1" w:styleId="21">
    <w:name w:val="font61"/>
    <w:basedOn w:val="11"/>
    <w:qFormat/>
    <w:uiPriority w:val="0"/>
    <w:rPr>
      <w:rFonts w:hint="eastAsia" w:ascii="MingLiU" w:hAnsi="MingLiU" w:eastAsia="MingLiU" w:cs="MingLiU"/>
      <w:color w:val="000000"/>
      <w:sz w:val="14"/>
      <w:szCs w:val="14"/>
      <w:u w:val="none"/>
    </w:rPr>
  </w:style>
  <w:style w:type="character" w:customStyle="1" w:styleId="22">
    <w:name w:val="font51"/>
    <w:basedOn w:val="11"/>
    <w:qFormat/>
    <w:uiPriority w:val="0"/>
    <w:rPr>
      <w:rFonts w:hint="default" w:ascii="Arial" w:hAnsi="Arial" w:cs="Arial"/>
      <w:b/>
      <w:color w:val="000000"/>
      <w:sz w:val="14"/>
      <w:szCs w:val="1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0" Type="http://schemas.openxmlformats.org/officeDocument/2006/relationships/fontTable" Target="fontTable.xml"/><Relationship Id="rId8" Type="http://schemas.openxmlformats.org/officeDocument/2006/relationships/image" Target="media/image3.jpeg"/><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2020-07-27T06:37:00Z</dcterms:created>
  <dc:creator>爱乐人行素</dc:creator>
  <cp:lastModifiedBy>爱乐人行素</cp:lastModifiedBy>
  <dcterms:modified xsi:type="dcterms:W3CDTF">2020-09-23T01:47:20Z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